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262C9F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DIDMS Project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 xml:space="preserve">Vientiane, Vientiane capital,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Sayabouli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Luangpabang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Savannakhet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Bolikhamxay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 Provinces (6 provinces and 17 districts)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Jouve</w:t>
            </w:r>
            <w:proofErr w:type="spellEnd"/>
            <w:proofErr w:type="gramStart"/>
            <w:r w:rsidRPr="00914F21">
              <w:rPr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Pouang</w:t>
            </w:r>
            <w:proofErr w:type="spellEnd"/>
            <w:proofErr w:type="gram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Khamphone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Sousada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Pany,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Soubanh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Samlet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Boun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Ome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Manivahn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>, and admin support staff.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14F21">
              <w:rPr>
                <w:b/>
                <w:bCs/>
                <w:sz w:val="22"/>
                <w:szCs w:val="22"/>
              </w:rPr>
              <w:t>Govt</w:t>
            </w:r>
            <w:proofErr w:type="spellEnd"/>
            <w:r w:rsidRPr="00914F21">
              <w:rPr>
                <w:b/>
                <w:bCs/>
                <w:sz w:val="22"/>
                <w:szCs w:val="22"/>
              </w:rPr>
              <w:t xml:space="preserve"> of Laos, ADB – in joint venture with BCEOM as lead firm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97408">
              <w:rPr>
                <w:b/>
                <w:bCs/>
                <w:sz w:val="22"/>
                <w:szCs w:val="22"/>
              </w:rPr>
              <w:t>No.of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Feb 2007 – Jan 2009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226 months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262C9F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 xml:space="preserve">A. T.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Bott</w:t>
            </w:r>
            <w:proofErr w:type="spellEnd"/>
          </w:p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 w:rsidRPr="00914F21">
              <w:rPr>
                <w:b/>
                <w:bCs/>
                <w:sz w:val="22"/>
                <w:szCs w:val="22"/>
              </w:rPr>
              <w:t>Jouve</w:t>
            </w:r>
            <w:proofErr w:type="spellEnd"/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262C9F" w:rsidRPr="00914F21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914F21">
              <w:rPr>
                <w:b/>
                <w:bCs/>
                <w:sz w:val="22"/>
                <w:szCs w:val="22"/>
              </w:rPr>
              <w:t>USD 350,000</w:t>
            </w:r>
          </w:p>
        </w:tc>
      </w:tr>
      <w:tr w:rsidR="00262C9F" w:rsidRPr="00597408" w:rsidTr="00C85B3C">
        <w:trPr>
          <w:trHeight w:val="305"/>
        </w:trPr>
        <w:tc>
          <w:tcPr>
            <w:tcW w:w="5000" w:type="pct"/>
            <w:gridSpan w:val="2"/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262C9F" w:rsidRPr="00597408" w:rsidTr="00C85B3C">
        <w:trPr>
          <w:trHeight w:val="290"/>
        </w:trPr>
        <w:tc>
          <w:tcPr>
            <w:tcW w:w="5000" w:type="pct"/>
            <w:gridSpan w:val="2"/>
          </w:tcPr>
          <w:p w:rsidR="00262C9F" w:rsidRPr="00597408" w:rsidRDefault="00262C9F" w:rsidP="00C85B3C">
            <w:pPr>
              <w:rPr>
                <w:bCs/>
                <w:sz w:val="22"/>
                <w:szCs w:val="22"/>
              </w:rPr>
            </w:pPr>
            <w:r w:rsidRPr="00597408">
              <w:rPr>
                <w:bCs/>
                <w:sz w:val="22"/>
                <w:szCs w:val="22"/>
              </w:rPr>
              <w:t>Irrigation scheme rehabilitation and development</w:t>
            </w:r>
          </w:p>
        </w:tc>
      </w:tr>
      <w:tr w:rsidR="00262C9F" w:rsidRPr="00597408" w:rsidTr="00C85B3C">
        <w:trPr>
          <w:trHeight w:val="305"/>
        </w:trPr>
        <w:tc>
          <w:tcPr>
            <w:tcW w:w="5000" w:type="pct"/>
            <w:gridSpan w:val="2"/>
          </w:tcPr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</w:p>
          <w:p w:rsidR="00262C9F" w:rsidRPr="00597408" w:rsidRDefault="00262C9F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262C9F" w:rsidRPr="00597408" w:rsidTr="00C85B3C">
        <w:trPr>
          <w:trHeight w:val="1086"/>
        </w:trPr>
        <w:tc>
          <w:tcPr>
            <w:tcW w:w="5000" w:type="pct"/>
            <w:gridSpan w:val="2"/>
          </w:tcPr>
          <w:p w:rsidR="00262C9F" w:rsidRPr="00597408" w:rsidRDefault="00262C9F" w:rsidP="00C85B3C">
            <w:pPr>
              <w:rPr>
                <w:bCs/>
                <w:sz w:val="22"/>
                <w:szCs w:val="22"/>
              </w:rPr>
            </w:pPr>
            <w:r w:rsidRPr="00597408">
              <w:rPr>
                <w:bCs/>
                <w:sz w:val="22"/>
                <w:szCs w:val="22"/>
              </w:rPr>
              <w:t>Train provincial staff and farmers to operate and manage irrigation scheme, use and maintain pumps and infrastructure. Develop irrigated agriculture and crop diversification. Establish, train and strengthen water user associations</w:t>
            </w:r>
            <w:r>
              <w:rPr>
                <w:bCs/>
                <w:sz w:val="22"/>
                <w:szCs w:val="22"/>
              </w:rPr>
              <w:t xml:space="preserve"> and farmer producer groups</w:t>
            </w:r>
            <w:r w:rsidRPr="00597408">
              <w:rPr>
                <w:bCs/>
                <w:sz w:val="22"/>
                <w:szCs w:val="22"/>
              </w:rPr>
              <w:t xml:space="preserve"> in 35 rehabilitated schemes.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9F"/>
    <w:rsid w:val="00262C9F"/>
    <w:rsid w:val="00575DA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9A068-AF9C-4D37-8A4F-0D167508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2017-06-03T07:49:00Z</dcterms:created>
  <dcterms:modified xsi:type="dcterms:W3CDTF">2017-06-03T07:49:00Z</dcterms:modified>
</cp:coreProperties>
</file>