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4750"/>
      </w:tblGrid>
      <w:tr w:rsidR="00264949" w:rsidRPr="00597408" w:rsidTr="00C85B3C">
        <w:trPr>
          <w:trHeight w:val="305"/>
        </w:trPr>
        <w:tc>
          <w:tcPr>
            <w:tcW w:w="2460" w:type="pct"/>
          </w:tcPr>
          <w:p w:rsidR="00264949" w:rsidRPr="00597408" w:rsidRDefault="00264949" w:rsidP="00C85B3C">
            <w:pPr>
              <w:rPr>
                <w:b/>
                <w:bCs/>
              </w:rPr>
            </w:pPr>
            <w:r w:rsidRPr="00597408">
              <w:rPr>
                <w:b/>
                <w:bCs/>
              </w:rPr>
              <w:t xml:space="preserve">Assignment Name: </w:t>
            </w:r>
          </w:p>
        </w:tc>
        <w:tc>
          <w:tcPr>
            <w:tcW w:w="2540" w:type="pct"/>
          </w:tcPr>
          <w:p w:rsidR="00264949" w:rsidRPr="00597408" w:rsidRDefault="00264949" w:rsidP="00C85B3C">
            <w:pPr>
              <w:rPr>
                <w:b/>
                <w:bCs/>
              </w:rPr>
            </w:pPr>
            <w:r w:rsidRPr="00597408">
              <w:rPr>
                <w:b/>
                <w:bCs/>
              </w:rPr>
              <w:t>Country</w:t>
            </w:r>
          </w:p>
        </w:tc>
      </w:tr>
      <w:tr w:rsidR="00264949" w:rsidRPr="00597408" w:rsidTr="00C85B3C">
        <w:trPr>
          <w:trHeight w:val="305"/>
        </w:trPr>
        <w:tc>
          <w:tcPr>
            <w:tcW w:w="246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  <w:r w:rsidRPr="008529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ADB </w:t>
            </w:r>
            <w:r w:rsidRPr="002F3FB1">
              <w:rPr>
                <w:b/>
                <w:bCs/>
              </w:rPr>
              <w:t>CDTA 8086-LAO: Supporting Decentralized Rural Infrastructure Development</w:t>
            </w:r>
          </w:p>
        </w:tc>
        <w:tc>
          <w:tcPr>
            <w:tcW w:w="254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  <w:r w:rsidRPr="00852977">
              <w:rPr>
                <w:b/>
                <w:bCs/>
              </w:rPr>
              <w:t>Lao PDR</w:t>
            </w:r>
          </w:p>
        </w:tc>
      </w:tr>
      <w:tr w:rsidR="00264949" w:rsidRPr="00597408" w:rsidTr="00C85B3C">
        <w:trPr>
          <w:trHeight w:val="305"/>
        </w:trPr>
        <w:tc>
          <w:tcPr>
            <w:tcW w:w="2460" w:type="pct"/>
          </w:tcPr>
          <w:p w:rsidR="00264949" w:rsidRPr="00597408" w:rsidRDefault="00264949" w:rsidP="00C85B3C">
            <w:pPr>
              <w:rPr>
                <w:b/>
                <w:bCs/>
              </w:rPr>
            </w:pPr>
          </w:p>
          <w:p w:rsidR="00264949" w:rsidRPr="00597408" w:rsidRDefault="00264949" w:rsidP="00C85B3C">
            <w:pPr>
              <w:rPr>
                <w:b/>
                <w:bCs/>
              </w:rPr>
            </w:pPr>
            <w:r w:rsidRPr="00597408">
              <w:rPr>
                <w:b/>
                <w:bCs/>
              </w:rPr>
              <w:t>Location Within Country</w:t>
            </w:r>
          </w:p>
        </w:tc>
        <w:tc>
          <w:tcPr>
            <w:tcW w:w="2540" w:type="pct"/>
          </w:tcPr>
          <w:p w:rsidR="00264949" w:rsidRPr="00597408" w:rsidRDefault="00264949" w:rsidP="00C85B3C">
            <w:pPr>
              <w:rPr>
                <w:b/>
                <w:bCs/>
              </w:rPr>
            </w:pPr>
          </w:p>
          <w:p w:rsidR="00264949" w:rsidRPr="00597408" w:rsidRDefault="00264949" w:rsidP="00C85B3C">
            <w:pPr>
              <w:rPr>
                <w:b/>
                <w:bCs/>
              </w:rPr>
            </w:pPr>
            <w:r w:rsidRPr="00597408">
              <w:rPr>
                <w:b/>
                <w:bCs/>
              </w:rPr>
              <w:t>Professional Staff Provided by CES</w:t>
            </w:r>
          </w:p>
        </w:tc>
      </w:tr>
      <w:tr w:rsidR="00264949" w:rsidRPr="00597408" w:rsidTr="00C85B3C">
        <w:trPr>
          <w:trHeight w:val="305"/>
        </w:trPr>
        <w:tc>
          <w:tcPr>
            <w:tcW w:w="246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Saravan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Sekong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Champassak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Savannakhet</w:t>
            </w:r>
            <w:proofErr w:type="spellEnd"/>
          </w:p>
        </w:tc>
        <w:tc>
          <w:tcPr>
            <w:tcW w:w="254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64949" w:rsidRPr="00597408" w:rsidTr="00C85B3C">
        <w:trPr>
          <w:trHeight w:val="305"/>
        </w:trPr>
        <w:tc>
          <w:tcPr>
            <w:tcW w:w="2460" w:type="pct"/>
          </w:tcPr>
          <w:p w:rsidR="00264949" w:rsidRPr="00597408" w:rsidRDefault="00264949" w:rsidP="00C85B3C">
            <w:pPr>
              <w:rPr>
                <w:b/>
                <w:bCs/>
              </w:rPr>
            </w:pPr>
          </w:p>
          <w:p w:rsidR="00264949" w:rsidRPr="00597408" w:rsidRDefault="00264949" w:rsidP="00C85B3C">
            <w:pPr>
              <w:rPr>
                <w:b/>
                <w:bCs/>
              </w:rPr>
            </w:pPr>
            <w:r w:rsidRPr="00597408">
              <w:rPr>
                <w:b/>
                <w:bCs/>
              </w:rPr>
              <w:t>Name of Client</w:t>
            </w:r>
          </w:p>
        </w:tc>
        <w:tc>
          <w:tcPr>
            <w:tcW w:w="2540" w:type="pct"/>
          </w:tcPr>
          <w:p w:rsidR="00264949" w:rsidRPr="00597408" w:rsidRDefault="00264949" w:rsidP="00C85B3C">
            <w:pPr>
              <w:rPr>
                <w:b/>
                <w:bCs/>
              </w:rPr>
            </w:pPr>
          </w:p>
        </w:tc>
      </w:tr>
      <w:tr w:rsidR="00264949" w:rsidRPr="00597408" w:rsidTr="00C85B3C">
        <w:trPr>
          <w:trHeight w:val="305"/>
        </w:trPr>
        <w:tc>
          <w:tcPr>
            <w:tcW w:w="246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ADB and Min </w:t>
            </w:r>
            <w:proofErr w:type="spellStart"/>
            <w:r>
              <w:rPr>
                <w:b/>
                <w:bCs/>
              </w:rPr>
              <w:t>Agric</w:t>
            </w:r>
            <w:proofErr w:type="spellEnd"/>
            <w:r>
              <w:rPr>
                <w:b/>
                <w:bCs/>
              </w:rPr>
              <w:t xml:space="preserve"> Forestry</w:t>
            </w:r>
          </w:p>
        </w:tc>
        <w:tc>
          <w:tcPr>
            <w:tcW w:w="254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</w:p>
        </w:tc>
      </w:tr>
      <w:tr w:rsidR="00264949" w:rsidRPr="00597408" w:rsidTr="00C85B3C">
        <w:trPr>
          <w:trHeight w:val="305"/>
        </w:trPr>
        <w:tc>
          <w:tcPr>
            <w:tcW w:w="2460" w:type="pct"/>
          </w:tcPr>
          <w:p w:rsidR="00264949" w:rsidRPr="00597408" w:rsidRDefault="00264949" w:rsidP="00C85B3C">
            <w:pPr>
              <w:rPr>
                <w:b/>
                <w:bCs/>
              </w:rPr>
            </w:pPr>
          </w:p>
          <w:p w:rsidR="00264949" w:rsidRPr="00597408" w:rsidRDefault="00264949" w:rsidP="00C85B3C">
            <w:pPr>
              <w:rPr>
                <w:b/>
                <w:bCs/>
              </w:rPr>
            </w:pPr>
            <w:r w:rsidRPr="00597408">
              <w:rPr>
                <w:b/>
                <w:bCs/>
              </w:rPr>
              <w:t>Start date (</w:t>
            </w:r>
            <w:proofErr w:type="spellStart"/>
            <w:r w:rsidRPr="00597408">
              <w:rPr>
                <w:b/>
                <w:bCs/>
              </w:rPr>
              <w:t>Mth</w:t>
            </w:r>
            <w:proofErr w:type="spellEnd"/>
            <w:r w:rsidRPr="00597408">
              <w:rPr>
                <w:b/>
                <w:bCs/>
              </w:rPr>
              <w:t>/</w:t>
            </w:r>
            <w:proofErr w:type="spellStart"/>
            <w:r w:rsidRPr="00597408">
              <w:rPr>
                <w:b/>
                <w:bCs/>
              </w:rPr>
              <w:t>Yr</w:t>
            </w:r>
            <w:proofErr w:type="spellEnd"/>
            <w:r w:rsidRPr="00597408">
              <w:rPr>
                <w:b/>
                <w:bCs/>
              </w:rPr>
              <w:t>)      Completion date  (</w:t>
            </w:r>
            <w:proofErr w:type="spellStart"/>
            <w:r w:rsidRPr="00597408">
              <w:rPr>
                <w:b/>
                <w:bCs/>
              </w:rPr>
              <w:t>Mth</w:t>
            </w:r>
            <w:proofErr w:type="spellEnd"/>
            <w:r w:rsidRPr="00597408">
              <w:rPr>
                <w:b/>
                <w:bCs/>
              </w:rPr>
              <w:t>/</w:t>
            </w:r>
            <w:proofErr w:type="spellStart"/>
            <w:r w:rsidRPr="00597408">
              <w:rPr>
                <w:b/>
                <w:bCs/>
              </w:rPr>
              <w:t>Yr</w:t>
            </w:r>
            <w:proofErr w:type="spellEnd"/>
            <w:r w:rsidRPr="00597408">
              <w:rPr>
                <w:b/>
                <w:bCs/>
              </w:rPr>
              <w:t>)</w:t>
            </w:r>
          </w:p>
        </w:tc>
        <w:tc>
          <w:tcPr>
            <w:tcW w:w="2540" w:type="pct"/>
          </w:tcPr>
          <w:p w:rsidR="00264949" w:rsidRPr="00597408" w:rsidRDefault="00264949" w:rsidP="00C85B3C">
            <w:pPr>
              <w:rPr>
                <w:b/>
                <w:bCs/>
              </w:rPr>
            </w:pPr>
          </w:p>
          <w:p w:rsidR="00264949" w:rsidRPr="00597408" w:rsidRDefault="00264949" w:rsidP="00C85B3C">
            <w:pPr>
              <w:rPr>
                <w:b/>
                <w:bCs/>
              </w:rPr>
            </w:pPr>
            <w:r w:rsidRPr="00597408">
              <w:rPr>
                <w:b/>
                <w:bCs/>
              </w:rPr>
              <w:t>No.</w:t>
            </w:r>
            <w:r>
              <w:rPr>
                <w:b/>
                <w:bCs/>
              </w:rPr>
              <w:t xml:space="preserve"> </w:t>
            </w:r>
            <w:r w:rsidRPr="00597408">
              <w:rPr>
                <w:b/>
                <w:bCs/>
              </w:rPr>
              <w:t>of Staff Months</w:t>
            </w:r>
          </w:p>
        </w:tc>
      </w:tr>
      <w:tr w:rsidR="00264949" w:rsidRPr="00597408" w:rsidTr="00C85B3C">
        <w:trPr>
          <w:trHeight w:val="305"/>
        </w:trPr>
        <w:tc>
          <w:tcPr>
            <w:tcW w:w="246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  <w:r w:rsidRPr="00852977">
              <w:rPr>
                <w:b/>
                <w:bCs/>
              </w:rPr>
              <w:t>January 201</w:t>
            </w:r>
            <w:r>
              <w:rPr>
                <w:b/>
                <w:bCs/>
              </w:rPr>
              <w:t>5 to December 2015</w:t>
            </w:r>
          </w:p>
        </w:tc>
        <w:tc>
          <w:tcPr>
            <w:tcW w:w="254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264949" w:rsidRPr="00597408" w:rsidTr="00C85B3C">
        <w:trPr>
          <w:trHeight w:val="305"/>
        </w:trPr>
        <w:tc>
          <w:tcPr>
            <w:tcW w:w="246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</w:p>
        </w:tc>
        <w:tc>
          <w:tcPr>
            <w:tcW w:w="254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</w:p>
        </w:tc>
      </w:tr>
      <w:tr w:rsidR="00264949" w:rsidRPr="00597408" w:rsidTr="00C85B3C">
        <w:trPr>
          <w:trHeight w:val="305"/>
        </w:trPr>
        <w:tc>
          <w:tcPr>
            <w:tcW w:w="2460" w:type="pct"/>
          </w:tcPr>
          <w:p w:rsidR="00264949" w:rsidRPr="00597408" w:rsidRDefault="00264949" w:rsidP="00C85B3C">
            <w:pPr>
              <w:rPr>
                <w:b/>
                <w:bCs/>
              </w:rPr>
            </w:pPr>
          </w:p>
          <w:p w:rsidR="00264949" w:rsidRPr="00597408" w:rsidRDefault="00264949" w:rsidP="00C85B3C">
            <w:pPr>
              <w:rPr>
                <w:b/>
                <w:bCs/>
              </w:rPr>
            </w:pPr>
            <w:r w:rsidRPr="00597408">
              <w:rPr>
                <w:b/>
                <w:bCs/>
              </w:rPr>
              <w:t>Name of Senior Staff</w:t>
            </w:r>
          </w:p>
        </w:tc>
        <w:tc>
          <w:tcPr>
            <w:tcW w:w="2540" w:type="pct"/>
          </w:tcPr>
          <w:p w:rsidR="00264949" w:rsidRPr="00597408" w:rsidRDefault="00264949" w:rsidP="00C85B3C">
            <w:pPr>
              <w:rPr>
                <w:b/>
                <w:bCs/>
              </w:rPr>
            </w:pPr>
          </w:p>
          <w:p w:rsidR="00264949" w:rsidRPr="00597408" w:rsidRDefault="00264949" w:rsidP="00C85B3C">
            <w:pPr>
              <w:rPr>
                <w:b/>
                <w:bCs/>
              </w:rPr>
            </w:pPr>
            <w:r w:rsidRPr="00597408">
              <w:rPr>
                <w:b/>
                <w:bCs/>
              </w:rPr>
              <w:t>Approx. Value of Services</w:t>
            </w:r>
          </w:p>
        </w:tc>
      </w:tr>
      <w:tr w:rsidR="00264949" w:rsidRPr="00597408" w:rsidTr="00C85B3C">
        <w:trPr>
          <w:trHeight w:val="305"/>
        </w:trPr>
        <w:tc>
          <w:tcPr>
            <w:tcW w:w="246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Sommay</w:t>
            </w:r>
            <w:proofErr w:type="spellEnd"/>
            <w:r>
              <w:rPr>
                <w:b/>
                <w:bCs/>
              </w:rPr>
              <w:t xml:space="preserve"> Chanthavong</w:t>
            </w:r>
          </w:p>
        </w:tc>
        <w:tc>
          <w:tcPr>
            <w:tcW w:w="2540" w:type="pct"/>
          </w:tcPr>
          <w:p w:rsidR="00264949" w:rsidRPr="00852977" w:rsidRDefault="00264949" w:rsidP="00C85B3C">
            <w:pPr>
              <w:rPr>
                <w:b/>
                <w:bCs/>
              </w:rPr>
            </w:pPr>
            <w:r w:rsidRPr="00852977">
              <w:rPr>
                <w:b/>
                <w:bCs/>
              </w:rPr>
              <w:t>$</w:t>
            </w:r>
            <w:r>
              <w:rPr>
                <w:b/>
                <w:bCs/>
              </w:rPr>
              <w:t>170,000</w:t>
            </w:r>
          </w:p>
        </w:tc>
      </w:tr>
      <w:tr w:rsidR="00264949" w:rsidRPr="00597408" w:rsidTr="00C85B3C">
        <w:trPr>
          <w:trHeight w:val="305"/>
        </w:trPr>
        <w:tc>
          <w:tcPr>
            <w:tcW w:w="5000" w:type="pct"/>
            <w:gridSpan w:val="2"/>
          </w:tcPr>
          <w:p w:rsidR="00264949" w:rsidRPr="00F24099" w:rsidRDefault="00264949" w:rsidP="00C85B3C">
            <w:pPr>
              <w:rPr>
                <w:b/>
                <w:bCs/>
              </w:rPr>
            </w:pPr>
            <w:r w:rsidRPr="00F24099">
              <w:rPr>
                <w:b/>
                <w:bCs/>
              </w:rPr>
              <w:t>Brief Description of project:</w:t>
            </w:r>
          </w:p>
          <w:p w:rsidR="00264949" w:rsidRPr="00F24099" w:rsidRDefault="00264949" w:rsidP="00C85B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4099">
              <w:t>The Sustainable Natural Resource Management and Productivity Enhancement Project (SNRMPEP) contains 71 subprojects which are being implemented in 42 districts in 5 southern provinces (</w:t>
            </w:r>
            <w:proofErr w:type="spellStart"/>
            <w:r w:rsidRPr="00F24099">
              <w:t>Savanakhet</w:t>
            </w:r>
            <w:proofErr w:type="spellEnd"/>
            <w:r w:rsidRPr="00F24099">
              <w:t xml:space="preserve">, </w:t>
            </w:r>
            <w:proofErr w:type="spellStart"/>
            <w:r w:rsidRPr="00F24099">
              <w:t>Champasak</w:t>
            </w:r>
            <w:proofErr w:type="spellEnd"/>
            <w:r w:rsidRPr="00F24099">
              <w:t xml:space="preserve">, </w:t>
            </w:r>
            <w:proofErr w:type="spellStart"/>
            <w:r w:rsidRPr="00F24099">
              <w:t>Salavanh</w:t>
            </w:r>
            <w:proofErr w:type="spellEnd"/>
            <w:r w:rsidRPr="00F24099">
              <w:t xml:space="preserve">, </w:t>
            </w:r>
            <w:proofErr w:type="spellStart"/>
            <w:r w:rsidRPr="00F24099">
              <w:t>Sekong</w:t>
            </w:r>
            <w:proofErr w:type="spellEnd"/>
            <w:r w:rsidRPr="00F24099">
              <w:t xml:space="preserve"> and </w:t>
            </w:r>
            <w:proofErr w:type="spellStart"/>
            <w:r w:rsidRPr="00F24099">
              <w:t>Attapeu</w:t>
            </w:r>
            <w:proofErr w:type="spellEnd"/>
            <w:r w:rsidRPr="00F24099">
              <w:t xml:space="preserve">) of Lao PDR. The subprojects includes </w:t>
            </w:r>
            <w:r>
              <w:t xml:space="preserve">support to coffee production groups, </w:t>
            </w:r>
            <w:r w:rsidRPr="00F24099">
              <w:t>rural infrastructure (rehabilitation of feeder roads, access tracks, and construction/rehabilitation of small- and medium-scale irrigation); specific purpose extension initiatives; piloting grain storage; and handling equipment using advanced post-harvest handling technologies.</w:t>
            </w:r>
          </w:p>
        </w:tc>
      </w:tr>
      <w:tr w:rsidR="00264949" w:rsidRPr="00597408" w:rsidTr="00C85B3C">
        <w:trPr>
          <w:trHeight w:val="305"/>
        </w:trPr>
        <w:tc>
          <w:tcPr>
            <w:tcW w:w="5000" w:type="pct"/>
            <w:gridSpan w:val="2"/>
          </w:tcPr>
          <w:p w:rsidR="00264949" w:rsidRPr="00F24099" w:rsidRDefault="00264949" w:rsidP="00C85B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4099">
              <w:rPr>
                <w:b/>
                <w:bCs/>
              </w:rPr>
              <w:t>Detailed description of Actual Services Provided by Company Personnel</w:t>
            </w:r>
          </w:p>
          <w:p w:rsidR="00264949" w:rsidRPr="00F24099" w:rsidRDefault="00264949" w:rsidP="00C85B3C">
            <w:pPr>
              <w:autoSpaceDE w:val="0"/>
              <w:autoSpaceDN w:val="0"/>
              <w:adjustRightInd w:val="0"/>
            </w:pPr>
            <w:r w:rsidRPr="00F24099">
              <w:t xml:space="preserve">The consultant team will identify capacity building needs, plan capacity building program and activities, and provide training and guidance on project implementation including efficient and effective O&amp;M of PRI, marketing, and enhancing sustainability for national and local government staff, </w:t>
            </w:r>
            <w:r>
              <w:t xml:space="preserve">coffee and other </w:t>
            </w:r>
            <w:r w:rsidRPr="00F24099">
              <w:t>producer and water user groups. The team is required to coordinate closely with national project coordination office (NPCO), provincial project offices (PPOs), and district agriculture and forestry offices (DAFOs).</w:t>
            </w:r>
          </w:p>
        </w:tc>
      </w:tr>
      <w:tr w:rsidR="00264949" w:rsidRPr="00597408" w:rsidTr="00C85B3C">
        <w:trPr>
          <w:trHeight w:val="290"/>
        </w:trPr>
        <w:tc>
          <w:tcPr>
            <w:tcW w:w="5000" w:type="pct"/>
            <w:gridSpan w:val="2"/>
          </w:tcPr>
          <w:p w:rsidR="00264949" w:rsidRPr="00AF69A3" w:rsidRDefault="00264949" w:rsidP="00C85B3C">
            <w:pPr>
              <w:contextualSpacing/>
              <w:rPr>
                <w:bCs/>
              </w:rPr>
            </w:pP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49"/>
    <w:rsid w:val="00264949"/>
    <w:rsid w:val="00575DAC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DC634-EF18-4014-B0BB-A318CAC7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3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2017-06-03T07:37:00Z</dcterms:created>
  <dcterms:modified xsi:type="dcterms:W3CDTF">2017-06-03T07:39:00Z</dcterms:modified>
</cp:coreProperties>
</file>