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9532C2" w:rsidRPr="00597408" w:rsidTr="00C85B3C">
        <w:trPr>
          <w:trHeight w:val="305"/>
        </w:trPr>
        <w:tc>
          <w:tcPr>
            <w:tcW w:w="2460" w:type="pct"/>
            <w:tcBorders>
              <w:top w:val="single" w:sz="12" w:space="0" w:color="000000"/>
              <w:left w:val="single" w:sz="12" w:space="0" w:color="000000"/>
            </w:tcBorders>
          </w:tcPr>
          <w:p w:rsidR="009532C2" w:rsidRPr="00597408" w:rsidRDefault="009532C2" w:rsidP="00C85B3C">
            <w:pPr>
              <w:rPr>
                <w:b/>
                <w:bCs/>
                <w:sz w:val="22"/>
                <w:szCs w:val="22"/>
              </w:rPr>
            </w:pPr>
            <w:r w:rsidRPr="00597408">
              <w:rPr>
                <w:b/>
                <w:bCs/>
                <w:sz w:val="22"/>
                <w:szCs w:val="22"/>
              </w:rPr>
              <w:t xml:space="preserve">Assignment Name: </w:t>
            </w:r>
          </w:p>
        </w:tc>
        <w:tc>
          <w:tcPr>
            <w:tcW w:w="2540" w:type="pct"/>
            <w:tcBorders>
              <w:top w:val="single" w:sz="12" w:space="0" w:color="000000"/>
              <w:right w:val="single" w:sz="12" w:space="0" w:color="000000"/>
            </w:tcBorders>
          </w:tcPr>
          <w:p w:rsidR="009532C2" w:rsidRPr="00597408" w:rsidRDefault="009532C2" w:rsidP="00C85B3C">
            <w:pPr>
              <w:rPr>
                <w:b/>
                <w:bCs/>
                <w:sz w:val="22"/>
                <w:szCs w:val="22"/>
              </w:rPr>
            </w:pPr>
            <w:r w:rsidRPr="00597408">
              <w:rPr>
                <w:b/>
                <w:bCs/>
                <w:sz w:val="22"/>
                <w:szCs w:val="22"/>
              </w:rPr>
              <w:t>Country</w:t>
            </w:r>
          </w:p>
        </w:tc>
      </w:tr>
      <w:tr w:rsidR="009532C2" w:rsidRPr="00597408" w:rsidTr="00C85B3C">
        <w:trPr>
          <w:trHeight w:val="305"/>
        </w:trPr>
        <w:tc>
          <w:tcPr>
            <w:tcW w:w="2460" w:type="pct"/>
            <w:tcBorders>
              <w:top w:val="single" w:sz="12" w:space="0" w:color="000000"/>
              <w:left w:val="single" w:sz="12" w:space="0" w:color="000000"/>
            </w:tcBorders>
          </w:tcPr>
          <w:p w:rsidR="009532C2" w:rsidRPr="00852977" w:rsidRDefault="009532C2" w:rsidP="00C85B3C">
            <w:pPr>
              <w:rPr>
                <w:b/>
                <w:bCs/>
                <w:sz w:val="22"/>
                <w:szCs w:val="22"/>
              </w:rPr>
            </w:pPr>
            <w:r w:rsidRPr="00852977">
              <w:rPr>
                <w:b/>
                <w:bCs/>
                <w:sz w:val="22"/>
                <w:szCs w:val="22"/>
              </w:rPr>
              <w:t xml:space="preserve"> Lao </w:t>
            </w:r>
            <w:r>
              <w:rPr>
                <w:b/>
                <w:bCs/>
                <w:sz w:val="22"/>
                <w:szCs w:val="22"/>
              </w:rPr>
              <w:t xml:space="preserve">Australia Rural Livelihoods </w:t>
            </w:r>
            <w:r w:rsidRPr="00852977">
              <w:rPr>
                <w:b/>
                <w:bCs/>
                <w:sz w:val="22"/>
                <w:szCs w:val="22"/>
              </w:rPr>
              <w:t>Project</w:t>
            </w:r>
            <w:r>
              <w:rPr>
                <w:b/>
                <w:bCs/>
                <w:sz w:val="22"/>
                <w:szCs w:val="22"/>
              </w:rPr>
              <w:t xml:space="preserve"> – (LARP) – Social Protection and Sustainable Livelihoods component (SPSL)</w:t>
            </w:r>
          </w:p>
        </w:tc>
        <w:tc>
          <w:tcPr>
            <w:tcW w:w="2540" w:type="pct"/>
            <w:tcBorders>
              <w:top w:val="single" w:sz="12" w:space="0" w:color="000000"/>
              <w:right w:val="single" w:sz="12" w:space="0" w:color="000000"/>
            </w:tcBorders>
          </w:tcPr>
          <w:p w:rsidR="009532C2" w:rsidRPr="00852977" w:rsidRDefault="009532C2" w:rsidP="00C85B3C">
            <w:pPr>
              <w:rPr>
                <w:b/>
                <w:bCs/>
                <w:sz w:val="22"/>
                <w:szCs w:val="22"/>
              </w:rPr>
            </w:pPr>
            <w:r w:rsidRPr="00852977">
              <w:rPr>
                <w:b/>
                <w:bCs/>
                <w:sz w:val="22"/>
                <w:szCs w:val="22"/>
              </w:rPr>
              <w:t>Lao PDR</w:t>
            </w:r>
          </w:p>
        </w:tc>
      </w:tr>
      <w:tr w:rsidR="009532C2" w:rsidRPr="00597408" w:rsidTr="00C85B3C">
        <w:trPr>
          <w:trHeight w:val="305"/>
        </w:trPr>
        <w:tc>
          <w:tcPr>
            <w:tcW w:w="2460" w:type="pct"/>
            <w:tcBorders>
              <w:top w:val="single" w:sz="12" w:space="0" w:color="000000"/>
              <w:left w:val="single" w:sz="12" w:space="0" w:color="000000"/>
            </w:tcBorders>
          </w:tcPr>
          <w:p w:rsidR="009532C2" w:rsidRPr="00597408" w:rsidRDefault="009532C2" w:rsidP="00C85B3C">
            <w:pPr>
              <w:rPr>
                <w:b/>
                <w:bCs/>
                <w:sz w:val="22"/>
                <w:szCs w:val="22"/>
              </w:rPr>
            </w:pPr>
          </w:p>
          <w:p w:rsidR="009532C2" w:rsidRPr="00597408" w:rsidRDefault="009532C2" w:rsidP="00C85B3C">
            <w:pPr>
              <w:rPr>
                <w:b/>
                <w:bCs/>
                <w:sz w:val="22"/>
                <w:szCs w:val="22"/>
              </w:rPr>
            </w:pPr>
            <w:r w:rsidRPr="00597408">
              <w:rPr>
                <w:b/>
                <w:bCs/>
                <w:sz w:val="22"/>
                <w:szCs w:val="22"/>
              </w:rPr>
              <w:t>Location Within Country</w:t>
            </w:r>
          </w:p>
        </w:tc>
        <w:tc>
          <w:tcPr>
            <w:tcW w:w="2540" w:type="pct"/>
            <w:tcBorders>
              <w:top w:val="single" w:sz="12" w:space="0" w:color="000000"/>
              <w:right w:val="single" w:sz="12" w:space="0" w:color="000000"/>
            </w:tcBorders>
          </w:tcPr>
          <w:p w:rsidR="009532C2" w:rsidRPr="00597408" w:rsidRDefault="009532C2" w:rsidP="00C85B3C">
            <w:pPr>
              <w:rPr>
                <w:b/>
                <w:bCs/>
                <w:sz w:val="22"/>
                <w:szCs w:val="22"/>
              </w:rPr>
            </w:pPr>
          </w:p>
          <w:p w:rsidR="009532C2" w:rsidRPr="00597408" w:rsidRDefault="009532C2" w:rsidP="00C85B3C">
            <w:pPr>
              <w:rPr>
                <w:b/>
                <w:bCs/>
                <w:sz w:val="22"/>
                <w:szCs w:val="22"/>
              </w:rPr>
            </w:pPr>
            <w:r w:rsidRPr="00597408">
              <w:rPr>
                <w:b/>
                <w:bCs/>
                <w:sz w:val="22"/>
                <w:szCs w:val="22"/>
              </w:rPr>
              <w:t>Professional Staff Provided by CES</w:t>
            </w:r>
          </w:p>
        </w:tc>
      </w:tr>
      <w:tr w:rsidR="009532C2" w:rsidRPr="00597408" w:rsidTr="00C85B3C">
        <w:trPr>
          <w:trHeight w:val="305"/>
        </w:trPr>
        <w:tc>
          <w:tcPr>
            <w:tcW w:w="2460" w:type="pct"/>
            <w:tcBorders>
              <w:top w:val="single" w:sz="12" w:space="0" w:color="000000"/>
              <w:left w:val="single" w:sz="12" w:space="0" w:color="000000"/>
            </w:tcBorders>
          </w:tcPr>
          <w:p w:rsidR="009532C2" w:rsidRPr="00852977" w:rsidRDefault="009532C2" w:rsidP="00C85B3C">
            <w:pPr>
              <w:rPr>
                <w:b/>
                <w:bCs/>
                <w:sz w:val="22"/>
                <w:szCs w:val="22"/>
              </w:rPr>
            </w:pPr>
            <w:r>
              <w:rPr>
                <w:b/>
                <w:bCs/>
                <w:sz w:val="22"/>
                <w:szCs w:val="22"/>
              </w:rPr>
              <w:t xml:space="preserve">Vientiane, </w:t>
            </w:r>
            <w:proofErr w:type="spellStart"/>
            <w:r>
              <w:rPr>
                <w:b/>
                <w:bCs/>
                <w:sz w:val="22"/>
                <w:szCs w:val="22"/>
              </w:rPr>
              <w:t>Saravan</w:t>
            </w:r>
            <w:proofErr w:type="spellEnd"/>
            <w:r>
              <w:rPr>
                <w:b/>
                <w:bCs/>
                <w:sz w:val="22"/>
                <w:szCs w:val="22"/>
              </w:rPr>
              <w:t xml:space="preserve">, </w:t>
            </w:r>
            <w:proofErr w:type="spellStart"/>
            <w:r>
              <w:rPr>
                <w:b/>
                <w:bCs/>
                <w:sz w:val="22"/>
                <w:szCs w:val="22"/>
              </w:rPr>
              <w:t>Champassak</w:t>
            </w:r>
            <w:proofErr w:type="spellEnd"/>
            <w:r>
              <w:rPr>
                <w:b/>
                <w:bCs/>
                <w:sz w:val="22"/>
                <w:szCs w:val="22"/>
              </w:rPr>
              <w:t xml:space="preserve">, </w:t>
            </w:r>
            <w:proofErr w:type="spellStart"/>
            <w:r>
              <w:rPr>
                <w:b/>
                <w:bCs/>
                <w:sz w:val="22"/>
                <w:szCs w:val="22"/>
              </w:rPr>
              <w:t>Savannakhet</w:t>
            </w:r>
            <w:proofErr w:type="spellEnd"/>
          </w:p>
        </w:tc>
        <w:tc>
          <w:tcPr>
            <w:tcW w:w="2540" w:type="pct"/>
            <w:tcBorders>
              <w:top w:val="single" w:sz="12" w:space="0" w:color="000000"/>
              <w:right w:val="single" w:sz="12" w:space="0" w:color="000000"/>
            </w:tcBorders>
          </w:tcPr>
          <w:p w:rsidR="009532C2" w:rsidRPr="00852977" w:rsidRDefault="009532C2" w:rsidP="00C85B3C">
            <w:pPr>
              <w:rPr>
                <w:b/>
                <w:bCs/>
                <w:sz w:val="22"/>
                <w:szCs w:val="22"/>
              </w:rPr>
            </w:pPr>
            <w:r>
              <w:rPr>
                <w:b/>
                <w:bCs/>
                <w:sz w:val="22"/>
                <w:szCs w:val="22"/>
              </w:rPr>
              <w:t>13</w:t>
            </w:r>
          </w:p>
        </w:tc>
      </w:tr>
      <w:tr w:rsidR="009532C2" w:rsidRPr="00597408" w:rsidTr="00C85B3C">
        <w:trPr>
          <w:trHeight w:val="305"/>
        </w:trPr>
        <w:tc>
          <w:tcPr>
            <w:tcW w:w="2460" w:type="pct"/>
            <w:tcBorders>
              <w:top w:val="single" w:sz="12" w:space="0" w:color="000000"/>
              <w:left w:val="single" w:sz="12" w:space="0" w:color="000000"/>
            </w:tcBorders>
          </w:tcPr>
          <w:p w:rsidR="009532C2" w:rsidRPr="00597408" w:rsidRDefault="009532C2" w:rsidP="00C85B3C">
            <w:pPr>
              <w:rPr>
                <w:b/>
                <w:bCs/>
                <w:sz w:val="22"/>
                <w:szCs w:val="22"/>
              </w:rPr>
            </w:pPr>
          </w:p>
          <w:p w:rsidR="009532C2" w:rsidRPr="00597408" w:rsidRDefault="009532C2" w:rsidP="00C85B3C">
            <w:pPr>
              <w:rPr>
                <w:b/>
                <w:bCs/>
                <w:sz w:val="22"/>
                <w:szCs w:val="22"/>
              </w:rPr>
            </w:pPr>
            <w:r w:rsidRPr="00597408">
              <w:rPr>
                <w:b/>
                <w:bCs/>
                <w:sz w:val="22"/>
                <w:szCs w:val="22"/>
              </w:rPr>
              <w:t>Name of Client</w:t>
            </w:r>
          </w:p>
        </w:tc>
        <w:tc>
          <w:tcPr>
            <w:tcW w:w="2540" w:type="pct"/>
            <w:tcBorders>
              <w:top w:val="single" w:sz="12" w:space="0" w:color="000000"/>
              <w:right w:val="single" w:sz="12" w:space="0" w:color="000000"/>
            </w:tcBorders>
          </w:tcPr>
          <w:p w:rsidR="009532C2" w:rsidRPr="00597408" w:rsidRDefault="009532C2" w:rsidP="00C85B3C">
            <w:pPr>
              <w:rPr>
                <w:b/>
                <w:bCs/>
                <w:sz w:val="22"/>
                <w:szCs w:val="22"/>
              </w:rPr>
            </w:pPr>
          </w:p>
        </w:tc>
      </w:tr>
      <w:tr w:rsidR="009532C2" w:rsidRPr="00597408" w:rsidTr="00C85B3C">
        <w:trPr>
          <w:trHeight w:val="305"/>
        </w:trPr>
        <w:tc>
          <w:tcPr>
            <w:tcW w:w="2460" w:type="pct"/>
            <w:tcBorders>
              <w:top w:val="single" w:sz="12" w:space="0" w:color="000000"/>
              <w:left w:val="single" w:sz="12" w:space="0" w:color="000000"/>
            </w:tcBorders>
          </w:tcPr>
          <w:p w:rsidR="009532C2" w:rsidRPr="00852977" w:rsidRDefault="009532C2" w:rsidP="00C85B3C">
            <w:pPr>
              <w:rPr>
                <w:b/>
                <w:bCs/>
                <w:sz w:val="22"/>
                <w:szCs w:val="22"/>
              </w:rPr>
            </w:pPr>
            <w:r>
              <w:rPr>
                <w:b/>
                <w:bCs/>
                <w:sz w:val="22"/>
                <w:szCs w:val="22"/>
              </w:rPr>
              <w:t xml:space="preserve">DFAT and </w:t>
            </w:r>
            <w:proofErr w:type="spellStart"/>
            <w:r>
              <w:rPr>
                <w:b/>
                <w:bCs/>
                <w:sz w:val="22"/>
                <w:szCs w:val="22"/>
              </w:rPr>
              <w:t>MoLSW</w:t>
            </w:r>
            <w:proofErr w:type="spellEnd"/>
          </w:p>
        </w:tc>
        <w:tc>
          <w:tcPr>
            <w:tcW w:w="2540" w:type="pct"/>
            <w:tcBorders>
              <w:top w:val="single" w:sz="12" w:space="0" w:color="000000"/>
              <w:right w:val="single" w:sz="12" w:space="0" w:color="000000"/>
            </w:tcBorders>
          </w:tcPr>
          <w:p w:rsidR="009532C2" w:rsidRPr="00852977" w:rsidRDefault="009532C2" w:rsidP="00C85B3C">
            <w:pPr>
              <w:rPr>
                <w:b/>
                <w:bCs/>
                <w:sz w:val="22"/>
                <w:szCs w:val="22"/>
              </w:rPr>
            </w:pPr>
          </w:p>
        </w:tc>
      </w:tr>
      <w:tr w:rsidR="009532C2" w:rsidRPr="00597408" w:rsidTr="00C85B3C">
        <w:trPr>
          <w:trHeight w:val="305"/>
        </w:trPr>
        <w:tc>
          <w:tcPr>
            <w:tcW w:w="2460" w:type="pct"/>
            <w:tcBorders>
              <w:top w:val="single" w:sz="12" w:space="0" w:color="000000"/>
              <w:left w:val="single" w:sz="12" w:space="0" w:color="000000"/>
            </w:tcBorders>
          </w:tcPr>
          <w:p w:rsidR="009532C2" w:rsidRPr="00597408" w:rsidRDefault="009532C2" w:rsidP="00C85B3C">
            <w:pPr>
              <w:rPr>
                <w:b/>
                <w:bCs/>
                <w:sz w:val="22"/>
                <w:szCs w:val="22"/>
              </w:rPr>
            </w:pPr>
          </w:p>
          <w:p w:rsidR="009532C2" w:rsidRPr="00597408" w:rsidRDefault="009532C2" w:rsidP="00C85B3C">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top w:val="single" w:sz="12" w:space="0" w:color="000000"/>
              <w:right w:val="single" w:sz="12" w:space="0" w:color="000000"/>
            </w:tcBorders>
          </w:tcPr>
          <w:p w:rsidR="009532C2" w:rsidRPr="00597408" w:rsidRDefault="009532C2" w:rsidP="00C85B3C">
            <w:pPr>
              <w:rPr>
                <w:b/>
                <w:bCs/>
                <w:sz w:val="22"/>
                <w:szCs w:val="22"/>
              </w:rPr>
            </w:pPr>
          </w:p>
          <w:p w:rsidR="009532C2" w:rsidRPr="00597408" w:rsidRDefault="009532C2" w:rsidP="00C85B3C">
            <w:pPr>
              <w:rPr>
                <w:b/>
                <w:bCs/>
                <w:sz w:val="22"/>
                <w:szCs w:val="22"/>
              </w:rPr>
            </w:pPr>
            <w:r w:rsidRPr="00597408">
              <w:rPr>
                <w:b/>
                <w:bCs/>
                <w:sz w:val="22"/>
                <w:szCs w:val="22"/>
              </w:rPr>
              <w:t>No.</w:t>
            </w:r>
            <w:r>
              <w:rPr>
                <w:b/>
                <w:bCs/>
                <w:sz w:val="22"/>
                <w:szCs w:val="22"/>
              </w:rPr>
              <w:t xml:space="preserve"> </w:t>
            </w:r>
            <w:r w:rsidRPr="00597408">
              <w:rPr>
                <w:b/>
                <w:bCs/>
                <w:sz w:val="22"/>
                <w:szCs w:val="22"/>
              </w:rPr>
              <w:t>of Staff Months</w:t>
            </w:r>
          </w:p>
        </w:tc>
      </w:tr>
      <w:tr w:rsidR="009532C2" w:rsidRPr="00597408" w:rsidTr="00C85B3C">
        <w:trPr>
          <w:trHeight w:val="305"/>
        </w:trPr>
        <w:tc>
          <w:tcPr>
            <w:tcW w:w="2460" w:type="pct"/>
            <w:tcBorders>
              <w:top w:val="single" w:sz="12" w:space="0" w:color="000000"/>
              <w:left w:val="single" w:sz="12" w:space="0" w:color="000000"/>
            </w:tcBorders>
          </w:tcPr>
          <w:p w:rsidR="009532C2" w:rsidRPr="00852977" w:rsidRDefault="009532C2" w:rsidP="00C85B3C">
            <w:pPr>
              <w:rPr>
                <w:b/>
                <w:bCs/>
                <w:sz w:val="22"/>
                <w:szCs w:val="22"/>
              </w:rPr>
            </w:pPr>
            <w:r w:rsidRPr="00852977">
              <w:rPr>
                <w:b/>
                <w:bCs/>
                <w:sz w:val="22"/>
                <w:szCs w:val="22"/>
              </w:rPr>
              <w:t>January 201</w:t>
            </w:r>
            <w:r>
              <w:rPr>
                <w:b/>
                <w:bCs/>
                <w:sz w:val="22"/>
                <w:szCs w:val="22"/>
              </w:rPr>
              <w:t>4 to June 2016</w:t>
            </w:r>
          </w:p>
        </w:tc>
        <w:tc>
          <w:tcPr>
            <w:tcW w:w="2540" w:type="pct"/>
            <w:tcBorders>
              <w:top w:val="single" w:sz="12" w:space="0" w:color="000000"/>
              <w:right w:val="single" w:sz="12" w:space="0" w:color="000000"/>
            </w:tcBorders>
          </w:tcPr>
          <w:p w:rsidR="009532C2" w:rsidRPr="00852977" w:rsidRDefault="009532C2" w:rsidP="00C85B3C">
            <w:pPr>
              <w:rPr>
                <w:b/>
                <w:bCs/>
                <w:sz w:val="22"/>
                <w:szCs w:val="22"/>
              </w:rPr>
            </w:pPr>
            <w:r>
              <w:rPr>
                <w:b/>
                <w:bCs/>
                <w:sz w:val="22"/>
                <w:szCs w:val="22"/>
              </w:rPr>
              <w:t>320</w:t>
            </w:r>
          </w:p>
        </w:tc>
      </w:tr>
      <w:tr w:rsidR="009532C2" w:rsidRPr="00597408" w:rsidTr="00C85B3C">
        <w:trPr>
          <w:trHeight w:val="305"/>
        </w:trPr>
        <w:tc>
          <w:tcPr>
            <w:tcW w:w="2460" w:type="pct"/>
            <w:tcBorders>
              <w:top w:val="single" w:sz="12" w:space="0" w:color="000000"/>
              <w:left w:val="single" w:sz="12" w:space="0" w:color="000000"/>
            </w:tcBorders>
          </w:tcPr>
          <w:p w:rsidR="009532C2" w:rsidRPr="00852977" w:rsidRDefault="009532C2" w:rsidP="00C85B3C">
            <w:pPr>
              <w:rPr>
                <w:b/>
                <w:bCs/>
                <w:sz w:val="22"/>
                <w:szCs w:val="22"/>
              </w:rPr>
            </w:pPr>
          </w:p>
        </w:tc>
        <w:tc>
          <w:tcPr>
            <w:tcW w:w="2540" w:type="pct"/>
            <w:tcBorders>
              <w:top w:val="single" w:sz="12" w:space="0" w:color="000000"/>
              <w:right w:val="single" w:sz="12" w:space="0" w:color="000000"/>
            </w:tcBorders>
          </w:tcPr>
          <w:p w:rsidR="009532C2" w:rsidRPr="00852977" w:rsidRDefault="009532C2" w:rsidP="00C85B3C">
            <w:pPr>
              <w:rPr>
                <w:b/>
                <w:bCs/>
                <w:sz w:val="22"/>
                <w:szCs w:val="22"/>
              </w:rPr>
            </w:pPr>
          </w:p>
        </w:tc>
      </w:tr>
      <w:tr w:rsidR="009532C2" w:rsidRPr="00597408" w:rsidTr="00C85B3C">
        <w:trPr>
          <w:trHeight w:val="305"/>
        </w:trPr>
        <w:tc>
          <w:tcPr>
            <w:tcW w:w="2460" w:type="pct"/>
            <w:tcBorders>
              <w:top w:val="single" w:sz="12" w:space="0" w:color="000000"/>
              <w:left w:val="single" w:sz="12" w:space="0" w:color="000000"/>
            </w:tcBorders>
          </w:tcPr>
          <w:p w:rsidR="009532C2" w:rsidRPr="00597408" w:rsidRDefault="009532C2" w:rsidP="00C85B3C">
            <w:pPr>
              <w:rPr>
                <w:b/>
                <w:bCs/>
                <w:sz w:val="22"/>
                <w:szCs w:val="22"/>
              </w:rPr>
            </w:pPr>
          </w:p>
          <w:p w:rsidR="009532C2" w:rsidRPr="00597408" w:rsidRDefault="009532C2" w:rsidP="00C85B3C">
            <w:pPr>
              <w:rPr>
                <w:b/>
                <w:bCs/>
                <w:sz w:val="22"/>
                <w:szCs w:val="22"/>
              </w:rPr>
            </w:pPr>
            <w:r w:rsidRPr="00597408">
              <w:rPr>
                <w:b/>
                <w:bCs/>
                <w:sz w:val="22"/>
                <w:szCs w:val="22"/>
              </w:rPr>
              <w:t>Name of Senior Staff</w:t>
            </w:r>
          </w:p>
        </w:tc>
        <w:tc>
          <w:tcPr>
            <w:tcW w:w="2540" w:type="pct"/>
            <w:tcBorders>
              <w:top w:val="single" w:sz="12" w:space="0" w:color="000000"/>
              <w:right w:val="single" w:sz="12" w:space="0" w:color="000000"/>
            </w:tcBorders>
          </w:tcPr>
          <w:p w:rsidR="009532C2" w:rsidRPr="00597408" w:rsidRDefault="009532C2" w:rsidP="00C85B3C">
            <w:pPr>
              <w:rPr>
                <w:b/>
                <w:bCs/>
                <w:sz w:val="22"/>
                <w:szCs w:val="22"/>
              </w:rPr>
            </w:pPr>
          </w:p>
          <w:p w:rsidR="009532C2" w:rsidRPr="00597408" w:rsidRDefault="009532C2" w:rsidP="00C85B3C">
            <w:pPr>
              <w:rPr>
                <w:b/>
                <w:bCs/>
                <w:sz w:val="22"/>
                <w:szCs w:val="22"/>
              </w:rPr>
            </w:pPr>
            <w:r w:rsidRPr="00597408">
              <w:rPr>
                <w:b/>
                <w:bCs/>
                <w:sz w:val="22"/>
                <w:szCs w:val="22"/>
              </w:rPr>
              <w:t>Approx. Value of Services</w:t>
            </w:r>
          </w:p>
        </w:tc>
      </w:tr>
      <w:tr w:rsidR="009532C2" w:rsidRPr="00597408" w:rsidTr="00C85B3C">
        <w:trPr>
          <w:trHeight w:val="305"/>
        </w:trPr>
        <w:tc>
          <w:tcPr>
            <w:tcW w:w="2460" w:type="pct"/>
            <w:tcBorders>
              <w:top w:val="single" w:sz="12" w:space="0" w:color="000000"/>
              <w:left w:val="single" w:sz="12" w:space="0" w:color="000000"/>
            </w:tcBorders>
          </w:tcPr>
          <w:p w:rsidR="009532C2" w:rsidRPr="00852977" w:rsidRDefault="009532C2" w:rsidP="00C85B3C">
            <w:pPr>
              <w:rPr>
                <w:b/>
                <w:bCs/>
                <w:sz w:val="22"/>
                <w:szCs w:val="22"/>
              </w:rPr>
            </w:pPr>
            <w:r>
              <w:rPr>
                <w:b/>
                <w:bCs/>
                <w:sz w:val="22"/>
                <w:szCs w:val="22"/>
              </w:rPr>
              <w:t xml:space="preserve">Mr. </w:t>
            </w:r>
            <w:proofErr w:type="spellStart"/>
            <w:r>
              <w:rPr>
                <w:b/>
                <w:bCs/>
                <w:sz w:val="22"/>
                <w:szCs w:val="22"/>
              </w:rPr>
              <w:t>Kaothong</w:t>
            </w:r>
            <w:proofErr w:type="spellEnd"/>
          </w:p>
        </w:tc>
        <w:tc>
          <w:tcPr>
            <w:tcW w:w="2540" w:type="pct"/>
            <w:tcBorders>
              <w:top w:val="single" w:sz="12" w:space="0" w:color="000000"/>
              <w:right w:val="single" w:sz="12" w:space="0" w:color="000000"/>
            </w:tcBorders>
          </w:tcPr>
          <w:p w:rsidR="009532C2" w:rsidRPr="00852977" w:rsidRDefault="009532C2" w:rsidP="00C85B3C">
            <w:pPr>
              <w:rPr>
                <w:b/>
                <w:bCs/>
                <w:sz w:val="22"/>
                <w:szCs w:val="22"/>
              </w:rPr>
            </w:pPr>
            <w:r w:rsidRPr="00852977">
              <w:rPr>
                <w:b/>
                <w:bCs/>
                <w:sz w:val="22"/>
                <w:szCs w:val="22"/>
              </w:rPr>
              <w:t>$</w:t>
            </w:r>
            <w:r>
              <w:rPr>
                <w:b/>
                <w:bCs/>
                <w:sz w:val="22"/>
                <w:szCs w:val="22"/>
              </w:rPr>
              <w:t>1,000,000</w:t>
            </w:r>
          </w:p>
        </w:tc>
      </w:tr>
      <w:tr w:rsidR="009532C2" w:rsidRPr="00597408" w:rsidTr="00C85B3C">
        <w:trPr>
          <w:trHeight w:val="305"/>
        </w:trPr>
        <w:tc>
          <w:tcPr>
            <w:tcW w:w="5000" w:type="pct"/>
            <w:gridSpan w:val="2"/>
          </w:tcPr>
          <w:p w:rsidR="009532C2" w:rsidRPr="00AF69A3" w:rsidRDefault="009532C2" w:rsidP="00C85B3C">
            <w:pPr>
              <w:rPr>
                <w:b/>
                <w:bCs/>
                <w:sz w:val="22"/>
                <w:szCs w:val="22"/>
              </w:rPr>
            </w:pPr>
          </w:p>
          <w:p w:rsidR="009532C2" w:rsidRDefault="009532C2" w:rsidP="00C85B3C">
            <w:pPr>
              <w:rPr>
                <w:b/>
                <w:bCs/>
                <w:sz w:val="22"/>
                <w:szCs w:val="22"/>
              </w:rPr>
            </w:pPr>
            <w:r w:rsidRPr="00AF69A3">
              <w:rPr>
                <w:b/>
                <w:bCs/>
                <w:sz w:val="22"/>
                <w:szCs w:val="22"/>
              </w:rPr>
              <w:t>Brief Description of Project</w:t>
            </w:r>
          </w:p>
          <w:p w:rsidR="009532C2" w:rsidRPr="00D406B5" w:rsidRDefault="009532C2" w:rsidP="00C85B3C">
            <w:pPr>
              <w:rPr>
                <w:bCs/>
                <w:sz w:val="22"/>
                <w:szCs w:val="22"/>
              </w:rPr>
            </w:pPr>
            <w:r w:rsidRPr="00D406B5">
              <w:rPr>
                <w:sz w:val="22"/>
                <w:szCs w:val="22"/>
              </w:rPr>
              <w:t xml:space="preserve">The </w:t>
            </w:r>
            <w:r w:rsidRPr="00D406B5">
              <w:rPr>
                <w:b/>
                <w:sz w:val="22"/>
                <w:szCs w:val="22"/>
              </w:rPr>
              <w:t xml:space="preserve">Laos – Australia Rural Livelihoods Program (LARLP) </w:t>
            </w:r>
            <w:r w:rsidRPr="00D406B5">
              <w:rPr>
                <w:sz w:val="22"/>
                <w:szCs w:val="22"/>
              </w:rPr>
              <w:t xml:space="preserve">is a four-year A$43 million program. Its </w:t>
            </w:r>
            <w:r w:rsidRPr="00D406B5">
              <w:rPr>
                <w:b/>
                <w:sz w:val="22"/>
                <w:szCs w:val="22"/>
              </w:rPr>
              <w:t>goal</w:t>
            </w:r>
            <w:r w:rsidRPr="00D406B5">
              <w:rPr>
                <w:sz w:val="22"/>
                <w:szCs w:val="22"/>
              </w:rPr>
              <w:t xml:space="preserve"> is </w:t>
            </w:r>
            <w:r w:rsidRPr="00D406B5">
              <w:rPr>
                <w:sz w:val="22"/>
                <w:szCs w:val="22"/>
                <w:lang w:val="en-AU"/>
              </w:rPr>
              <w:t xml:space="preserve">to increase the economic security and resilience of poor women and men in rural areas. </w:t>
            </w:r>
            <w:r w:rsidRPr="00D406B5">
              <w:rPr>
                <w:sz w:val="22"/>
                <w:szCs w:val="22"/>
              </w:rPr>
              <w:t xml:space="preserve">Its </w:t>
            </w:r>
            <w:r w:rsidRPr="00D406B5">
              <w:rPr>
                <w:b/>
                <w:sz w:val="22"/>
                <w:szCs w:val="22"/>
              </w:rPr>
              <w:t xml:space="preserve">objective </w:t>
            </w:r>
            <w:r w:rsidRPr="00D406B5">
              <w:rPr>
                <w:sz w:val="22"/>
                <w:szCs w:val="22"/>
              </w:rPr>
              <w:t xml:space="preserve">is to </w:t>
            </w:r>
            <w:r w:rsidRPr="00D406B5">
              <w:rPr>
                <w:sz w:val="22"/>
                <w:szCs w:val="22"/>
                <w:lang w:val="en-AU"/>
              </w:rPr>
              <w:t>provide poor rural families, in particular women, with greater and inclusive access to social protection, financial services, productive assets and opportunities to generate income.</w:t>
            </w:r>
          </w:p>
        </w:tc>
      </w:tr>
      <w:tr w:rsidR="009532C2" w:rsidRPr="00597408" w:rsidTr="00C85B3C">
        <w:trPr>
          <w:trHeight w:val="305"/>
        </w:trPr>
        <w:tc>
          <w:tcPr>
            <w:tcW w:w="5000" w:type="pct"/>
            <w:gridSpan w:val="2"/>
          </w:tcPr>
          <w:p w:rsidR="009532C2" w:rsidRDefault="009532C2" w:rsidP="00C85B3C">
            <w:pPr>
              <w:autoSpaceDE w:val="0"/>
              <w:autoSpaceDN w:val="0"/>
              <w:adjustRightInd w:val="0"/>
              <w:rPr>
                <w:sz w:val="22"/>
                <w:szCs w:val="22"/>
              </w:rPr>
            </w:pPr>
            <w:r w:rsidRPr="00D406B5">
              <w:rPr>
                <w:sz w:val="22"/>
                <w:szCs w:val="22"/>
              </w:rPr>
              <w:t>Rural families will be provided with greater access to financial services, to strengthen both their investment possibilities and enhance consumption smoothing. The LARLP will also begin a process of strengthening social protection in Laos, by offering the most vulnerable families access to social transfers and livelihood opportunities, while also engaging in policy dialogue on social protection with government.</w:t>
            </w:r>
          </w:p>
          <w:p w:rsidR="009532C2" w:rsidRPr="00D406B5" w:rsidRDefault="009532C2" w:rsidP="00C85B3C">
            <w:pPr>
              <w:autoSpaceDE w:val="0"/>
              <w:autoSpaceDN w:val="0"/>
              <w:adjustRightInd w:val="0"/>
              <w:rPr>
                <w:sz w:val="22"/>
                <w:szCs w:val="22"/>
              </w:rPr>
            </w:pPr>
          </w:p>
        </w:tc>
      </w:tr>
      <w:tr w:rsidR="009532C2" w:rsidRPr="00597408" w:rsidTr="00C85B3C">
        <w:trPr>
          <w:trHeight w:val="290"/>
        </w:trPr>
        <w:tc>
          <w:tcPr>
            <w:tcW w:w="5000" w:type="pct"/>
            <w:gridSpan w:val="2"/>
          </w:tcPr>
          <w:p w:rsidR="009532C2" w:rsidRPr="00D406B5" w:rsidRDefault="009532C2" w:rsidP="00C85B3C">
            <w:pPr>
              <w:contextualSpacing/>
              <w:rPr>
                <w:sz w:val="22"/>
                <w:szCs w:val="22"/>
              </w:rPr>
            </w:pPr>
            <w:r w:rsidRPr="00D406B5">
              <w:rPr>
                <w:sz w:val="22"/>
                <w:szCs w:val="22"/>
              </w:rPr>
              <w:t>The Micro-Enterprise Challenge Fund will focus on Outcome 1</w:t>
            </w:r>
            <w:r w:rsidRPr="00D406B5">
              <w:rPr>
                <w:b/>
                <w:sz w:val="22"/>
                <w:szCs w:val="22"/>
              </w:rPr>
              <w:t xml:space="preserve">: </w:t>
            </w:r>
            <w:r w:rsidRPr="00D406B5">
              <w:rPr>
                <w:bCs/>
                <w:sz w:val="22"/>
                <w:szCs w:val="22"/>
              </w:rPr>
              <w:t xml:space="preserve">Increased income generating opportunities for </w:t>
            </w:r>
            <w:r w:rsidRPr="00D406B5">
              <w:rPr>
                <w:sz w:val="22"/>
                <w:szCs w:val="22"/>
              </w:rPr>
              <w:t>poor women and men, including through greater commercial and sustainable exploitation of natural resources</w:t>
            </w:r>
            <w:r>
              <w:rPr>
                <w:sz w:val="22"/>
                <w:szCs w:val="22"/>
              </w:rPr>
              <w:t xml:space="preserve"> and will include coffee production in appropriate areas</w:t>
            </w:r>
            <w:r w:rsidRPr="00D406B5">
              <w:rPr>
                <w:sz w:val="22"/>
                <w:szCs w:val="22"/>
              </w:rPr>
              <w:t xml:space="preserve">. </w:t>
            </w:r>
          </w:p>
          <w:p w:rsidR="009532C2" w:rsidRPr="00D406B5" w:rsidRDefault="009532C2" w:rsidP="00C85B3C">
            <w:pPr>
              <w:rPr>
                <w:sz w:val="22"/>
                <w:szCs w:val="22"/>
              </w:rPr>
            </w:pPr>
          </w:p>
          <w:p w:rsidR="009532C2" w:rsidRPr="00D406B5" w:rsidRDefault="009532C2" w:rsidP="00C85B3C">
            <w:pPr>
              <w:contextualSpacing/>
              <w:rPr>
                <w:sz w:val="22"/>
                <w:szCs w:val="22"/>
              </w:rPr>
            </w:pPr>
            <w:r w:rsidRPr="00D406B5">
              <w:rPr>
                <w:sz w:val="22"/>
                <w:szCs w:val="22"/>
              </w:rPr>
              <w:t>The Social Protection sub-component will be responsible for achieving Outcomes 2 and 3:  Increased access to social transfers and enhanced livelihood opportunities for the most vulnerable families within selected communities; and a clear policy direction on social protection by the Government of Laos.</w:t>
            </w:r>
          </w:p>
          <w:p w:rsidR="009532C2" w:rsidRPr="00D406B5" w:rsidRDefault="009532C2" w:rsidP="00C85B3C">
            <w:pPr>
              <w:contextualSpacing/>
              <w:rPr>
                <w:sz w:val="22"/>
                <w:szCs w:val="22"/>
              </w:rPr>
            </w:pPr>
          </w:p>
          <w:p w:rsidR="009532C2" w:rsidRPr="00AF69A3" w:rsidRDefault="009532C2" w:rsidP="00C85B3C">
            <w:pPr>
              <w:contextualSpacing/>
              <w:rPr>
                <w:bCs/>
                <w:sz w:val="22"/>
                <w:szCs w:val="22"/>
              </w:rPr>
            </w:pPr>
            <w:r w:rsidRPr="00D406B5">
              <w:rPr>
                <w:sz w:val="22"/>
                <w:szCs w:val="22"/>
              </w:rPr>
              <w:t>Policy dialogue is to occur at a higher level than for all other activities in the component. For this dialogue based activity, the Social Protection team within SPSL will work with the Government of Laos, in particular, the Ministry of Labour and Social Welfare, the National Leading Committee on Rural Development and Poverty Eradication, and the Ministry of Finance. The aim is to establish a clear policy direction on social protection.</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C2"/>
    <w:rsid w:val="00575DAC"/>
    <w:rsid w:val="009532C2"/>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441F9-86EE-44DE-86AA-FDE9FE05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C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2017-06-03T07:39:00Z</dcterms:created>
  <dcterms:modified xsi:type="dcterms:W3CDTF">2017-06-03T07:40:00Z</dcterms:modified>
</cp:coreProperties>
</file>