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4591"/>
        <w:gridCol w:w="4741"/>
      </w:tblGrid>
      <w:tr w:rsidR="00F86390" w:rsidRPr="00597408" w:rsidTr="00C85B3C">
        <w:trPr>
          <w:trHeight w:val="305"/>
        </w:trPr>
        <w:tc>
          <w:tcPr>
            <w:tcW w:w="2460" w:type="pct"/>
            <w:tcBorders>
              <w:top w:val="single" w:sz="12" w:space="0" w:color="000000"/>
              <w:lef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 xml:space="preserve">Project Name: </w:t>
            </w:r>
          </w:p>
        </w:tc>
        <w:tc>
          <w:tcPr>
            <w:tcW w:w="2540" w:type="pct"/>
            <w:tcBorders>
              <w:top w:val="single" w:sz="12" w:space="0" w:color="000000"/>
              <w:righ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Country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5746B">
              <w:rPr>
                <w:b/>
                <w:bCs/>
                <w:sz w:val="22"/>
                <w:szCs w:val="22"/>
              </w:rPr>
              <w:t>Xieng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Khouang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Nonghet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Integrated Rural Development Project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Lao P.D.R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Project Location Within Country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Professional Staff Provided by your Company: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5746B">
              <w:rPr>
                <w:b/>
                <w:bCs/>
                <w:sz w:val="22"/>
                <w:szCs w:val="22"/>
              </w:rPr>
              <w:t>Xieng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Khouang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Province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Staff: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UNDCP/IFAD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No. Person months: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Start date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      Completion date  (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Mth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597408">
              <w:rPr>
                <w:b/>
                <w:bCs/>
                <w:sz w:val="22"/>
                <w:szCs w:val="22"/>
              </w:rPr>
              <w:t>Yr</w:t>
            </w:r>
            <w:proofErr w:type="spellEnd"/>
            <w:r w:rsidRPr="00597408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Oct - Dec 1999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Approx. Value of Services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Name of Senior Staff (Project Director/Coordinator, Team Leader)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>USD$8,500</w:t>
            </w: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5746B">
              <w:rPr>
                <w:b/>
                <w:bCs/>
                <w:sz w:val="22"/>
                <w:szCs w:val="22"/>
              </w:rPr>
              <w:t xml:space="preserve">Mr. Pany </w:t>
            </w:r>
            <w:proofErr w:type="spellStart"/>
            <w:r w:rsidRPr="0055746B">
              <w:rPr>
                <w:b/>
                <w:bCs/>
                <w:sz w:val="22"/>
                <w:szCs w:val="22"/>
              </w:rPr>
              <w:t>Keodalawong</w:t>
            </w:r>
            <w:proofErr w:type="spellEnd"/>
            <w:r w:rsidRPr="0055746B">
              <w:rPr>
                <w:b/>
                <w:bCs/>
                <w:sz w:val="22"/>
                <w:szCs w:val="22"/>
              </w:rPr>
              <w:t xml:space="preserve">   Participatory Extension Trainer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5746B" w:rsidRDefault="00F86390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6390" w:rsidRPr="00597408" w:rsidTr="00C85B3C">
        <w:trPr>
          <w:trHeight w:val="305"/>
        </w:trPr>
        <w:tc>
          <w:tcPr>
            <w:tcW w:w="2460" w:type="pct"/>
            <w:tcBorders>
              <w:lef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Detailed Narrative Description of Project:</w:t>
            </w:r>
          </w:p>
        </w:tc>
        <w:tc>
          <w:tcPr>
            <w:tcW w:w="2540" w:type="pct"/>
            <w:tcBorders>
              <w:right w:val="single" w:sz="12" w:space="0" w:color="000000"/>
            </w:tcBorders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86390" w:rsidRPr="00597408" w:rsidTr="00C85B3C">
        <w:trPr>
          <w:trHeight w:val="1250"/>
        </w:trPr>
        <w:tc>
          <w:tcPr>
            <w:tcW w:w="5000" w:type="pct"/>
            <w:gridSpan w:val="2"/>
          </w:tcPr>
          <w:p w:rsidR="00F86390" w:rsidRPr="00597408" w:rsidRDefault="00F86390" w:rsidP="00C85B3C">
            <w:pPr>
              <w:rPr>
                <w:sz w:val="22"/>
                <w:szCs w:val="22"/>
              </w:rPr>
            </w:pPr>
            <w:proofErr w:type="spellStart"/>
            <w:r w:rsidRPr="00597408">
              <w:rPr>
                <w:sz w:val="22"/>
                <w:szCs w:val="22"/>
              </w:rPr>
              <w:t>Mid term</w:t>
            </w:r>
            <w:proofErr w:type="spellEnd"/>
            <w:r w:rsidRPr="00597408">
              <w:rPr>
                <w:sz w:val="22"/>
                <w:szCs w:val="22"/>
              </w:rPr>
              <w:t xml:space="preserve"> of Phase 2 of the integrated development project. Focus on poverty eradication, reduction of slash and burn agriculture and opium substitution. The project is also rehabilitating rural access roads using labour based method.</w:t>
            </w:r>
          </w:p>
          <w:p w:rsidR="00F86390" w:rsidRPr="00597408" w:rsidRDefault="00F86390" w:rsidP="00C85B3C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There is also a large Rural credit component being channelled through the Agriculture Promotion bank.</w:t>
            </w: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The project will improve livestock and animal husbandry, develop sustainable upland farming systems as well as develop livelihood alternatives to opium production</w:t>
            </w:r>
            <w:r>
              <w:rPr>
                <w:sz w:val="22"/>
                <w:szCs w:val="22"/>
              </w:rPr>
              <w:t xml:space="preserve"> such as asparagus, coffee, </w:t>
            </w:r>
            <w:proofErr w:type="gramStart"/>
            <w:r>
              <w:rPr>
                <w:sz w:val="22"/>
                <w:szCs w:val="22"/>
              </w:rPr>
              <w:t>maize</w:t>
            </w:r>
            <w:proofErr w:type="gramEnd"/>
            <w:r w:rsidRPr="00597408">
              <w:rPr>
                <w:sz w:val="22"/>
                <w:szCs w:val="22"/>
              </w:rPr>
              <w:t>. A Health component will assist drug abuse.</w:t>
            </w:r>
          </w:p>
        </w:tc>
      </w:tr>
      <w:tr w:rsidR="00F86390" w:rsidRPr="00597408" w:rsidTr="00C85B3C">
        <w:trPr>
          <w:trHeight w:val="305"/>
        </w:trPr>
        <w:tc>
          <w:tcPr>
            <w:tcW w:w="5000" w:type="pct"/>
            <w:gridSpan w:val="2"/>
          </w:tcPr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b/>
                <w:bCs/>
                <w:sz w:val="22"/>
                <w:szCs w:val="22"/>
              </w:rPr>
              <w:t>Detailed description of Actual Services Provided by Company:</w:t>
            </w:r>
          </w:p>
        </w:tc>
      </w:tr>
      <w:tr w:rsidR="00F86390" w:rsidRPr="00597408" w:rsidTr="00C85B3C">
        <w:trPr>
          <w:trHeight w:val="944"/>
        </w:trPr>
        <w:tc>
          <w:tcPr>
            <w:tcW w:w="5000" w:type="pct"/>
            <w:gridSpan w:val="2"/>
          </w:tcPr>
          <w:p w:rsidR="00F86390" w:rsidRPr="00597408" w:rsidRDefault="00F86390" w:rsidP="00C85B3C">
            <w:pPr>
              <w:rPr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 xml:space="preserve">Develop and provide training to both provincial and district agriculture and forestry staff on use of PRA and </w:t>
            </w:r>
            <w:proofErr w:type="gramStart"/>
            <w:r w:rsidRPr="00597408">
              <w:rPr>
                <w:sz w:val="22"/>
                <w:szCs w:val="22"/>
              </w:rPr>
              <w:t>other  participatory</w:t>
            </w:r>
            <w:proofErr w:type="gramEnd"/>
            <w:r w:rsidRPr="00597408">
              <w:rPr>
                <w:sz w:val="22"/>
                <w:szCs w:val="22"/>
              </w:rPr>
              <w:t xml:space="preserve"> tools. Review extension methodology employed to date, propose improvements. Train staff in </w:t>
            </w:r>
            <w:proofErr w:type="gramStart"/>
            <w:r w:rsidRPr="00597408">
              <w:rPr>
                <w:sz w:val="22"/>
                <w:szCs w:val="22"/>
              </w:rPr>
              <w:t>village  development</w:t>
            </w:r>
            <w:proofErr w:type="gramEnd"/>
            <w:r w:rsidRPr="00597408">
              <w:rPr>
                <w:sz w:val="22"/>
                <w:szCs w:val="22"/>
              </w:rPr>
              <w:t xml:space="preserve"> planning and community/village social structures and group organisation. Train staff in participatory M&amp;E. </w:t>
            </w:r>
          </w:p>
          <w:p w:rsidR="00F86390" w:rsidRPr="00597408" w:rsidRDefault="00F86390" w:rsidP="00C85B3C">
            <w:pPr>
              <w:rPr>
                <w:b/>
                <w:bCs/>
                <w:sz w:val="22"/>
                <w:szCs w:val="22"/>
              </w:rPr>
            </w:pPr>
            <w:r w:rsidRPr="00597408">
              <w:rPr>
                <w:sz w:val="22"/>
                <w:szCs w:val="22"/>
              </w:rPr>
              <w:t>Conduct time and distance studies for confirmation of road route selection.</w:t>
            </w:r>
          </w:p>
        </w:tc>
      </w:tr>
    </w:tbl>
    <w:p w:rsidR="00575DAC" w:rsidRDefault="00575DAC">
      <w:bookmarkStart w:id="0" w:name="_GoBack"/>
      <w:bookmarkEnd w:id="0"/>
    </w:p>
    <w:sectPr w:rsidR="0057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0"/>
    <w:rsid w:val="00575DAC"/>
    <w:rsid w:val="00E12732"/>
    <w:rsid w:val="00F8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F60F7-D276-4572-BFDA-93E31CA60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2017-06-03T07:56:00Z</dcterms:created>
  <dcterms:modified xsi:type="dcterms:W3CDTF">2017-06-03T07:57:00Z</dcterms:modified>
</cp:coreProperties>
</file>