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1C3" w:rsidRDefault="00FD71C3">
      <w:pPr>
        <w:pStyle w:val="Heading5"/>
        <w:jc w:val="lef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6"/>
        <w:gridCol w:w="4384"/>
      </w:tblGrid>
      <w:tr w:rsidR="00195DF9" w:rsidRPr="00597408" w:rsidTr="00195DF9">
        <w:trPr>
          <w:trHeight w:val="305"/>
        </w:trPr>
        <w:tc>
          <w:tcPr>
            <w:tcW w:w="2460" w:type="pct"/>
          </w:tcPr>
          <w:p w:rsidR="00195DF9" w:rsidRPr="00195DF9" w:rsidRDefault="00195DF9" w:rsidP="00195DF9">
            <w:pPr>
              <w:rPr>
                <w:b/>
                <w:bCs/>
                <w:sz w:val="22"/>
                <w:szCs w:val="22"/>
                <w:lang w:val="en-US"/>
              </w:rPr>
            </w:pPr>
            <w:r w:rsidRPr="00597408">
              <w:rPr>
                <w:b/>
                <w:bCs/>
                <w:sz w:val="22"/>
                <w:szCs w:val="22"/>
              </w:rPr>
              <w:t xml:space="preserve">Assignment Name: </w:t>
            </w:r>
            <w:r w:rsidRPr="00195DF9">
              <w:rPr>
                <w:b/>
                <w:bCs/>
                <w:sz w:val="22"/>
                <w:szCs w:val="22"/>
                <w:lang w:val="en-US"/>
              </w:rPr>
              <w:t>Grant # 0242-LAO(SF) : Planning, Detailed Design, Construction Supervision and Feasibility Studies of the Small-Scale Infrastructure Component of the GMS - Biodiversity Conservation Corridors Project - Lao PDR</w:t>
            </w:r>
          </w:p>
        </w:tc>
        <w:tc>
          <w:tcPr>
            <w:tcW w:w="2540" w:type="pct"/>
          </w:tcPr>
          <w:p w:rsidR="00195DF9" w:rsidRDefault="00195DF9" w:rsidP="00195DF9">
            <w:pPr>
              <w:rPr>
                <w:b/>
                <w:bCs/>
                <w:sz w:val="22"/>
                <w:szCs w:val="22"/>
              </w:rPr>
            </w:pPr>
            <w:r w:rsidRPr="00597408">
              <w:rPr>
                <w:b/>
                <w:bCs/>
                <w:sz w:val="22"/>
                <w:szCs w:val="22"/>
              </w:rPr>
              <w:t>Country</w:t>
            </w:r>
          </w:p>
          <w:p w:rsidR="00195DF9" w:rsidRDefault="00195DF9" w:rsidP="00195DF9">
            <w:pPr>
              <w:rPr>
                <w:b/>
                <w:bCs/>
                <w:sz w:val="22"/>
                <w:szCs w:val="22"/>
              </w:rPr>
            </w:pPr>
          </w:p>
          <w:p w:rsidR="00195DF9" w:rsidRPr="00597408" w:rsidRDefault="00195DF9" w:rsidP="00195DF9">
            <w:pPr>
              <w:rPr>
                <w:b/>
                <w:bCs/>
                <w:sz w:val="22"/>
                <w:szCs w:val="22"/>
              </w:rPr>
            </w:pPr>
            <w:r w:rsidRPr="00852977">
              <w:rPr>
                <w:b/>
                <w:bCs/>
                <w:sz w:val="22"/>
                <w:szCs w:val="22"/>
              </w:rPr>
              <w:t>Lao PDR</w:t>
            </w:r>
          </w:p>
        </w:tc>
      </w:tr>
      <w:tr w:rsidR="00195DF9" w:rsidRPr="00597408" w:rsidTr="00195DF9">
        <w:trPr>
          <w:trHeight w:val="305"/>
        </w:trPr>
        <w:tc>
          <w:tcPr>
            <w:tcW w:w="2460" w:type="pct"/>
          </w:tcPr>
          <w:p w:rsidR="00195DF9" w:rsidRPr="00597408" w:rsidRDefault="00195DF9" w:rsidP="00195DF9">
            <w:pPr>
              <w:rPr>
                <w:b/>
                <w:bCs/>
                <w:sz w:val="22"/>
                <w:szCs w:val="22"/>
              </w:rPr>
            </w:pPr>
          </w:p>
          <w:p w:rsidR="00195DF9" w:rsidRPr="00597408" w:rsidRDefault="00195DF9" w:rsidP="00195DF9">
            <w:pPr>
              <w:rPr>
                <w:b/>
                <w:bCs/>
                <w:sz w:val="22"/>
                <w:szCs w:val="22"/>
              </w:rPr>
            </w:pPr>
            <w:r w:rsidRPr="00597408">
              <w:rPr>
                <w:b/>
                <w:bCs/>
                <w:sz w:val="22"/>
                <w:szCs w:val="22"/>
              </w:rPr>
              <w:t>Location Within Country</w:t>
            </w:r>
          </w:p>
        </w:tc>
        <w:tc>
          <w:tcPr>
            <w:tcW w:w="2540" w:type="pct"/>
          </w:tcPr>
          <w:p w:rsidR="00195DF9" w:rsidRPr="00597408" w:rsidRDefault="00195DF9" w:rsidP="00195DF9">
            <w:pPr>
              <w:rPr>
                <w:b/>
                <w:bCs/>
                <w:sz w:val="22"/>
                <w:szCs w:val="22"/>
              </w:rPr>
            </w:pPr>
          </w:p>
          <w:p w:rsidR="00195DF9" w:rsidRPr="00597408" w:rsidRDefault="00195DF9" w:rsidP="00195DF9">
            <w:pPr>
              <w:rPr>
                <w:b/>
                <w:bCs/>
                <w:sz w:val="22"/>
                <w:szCs w:val="22"/>
              </w:rPr>
            </w:pPr>
            <w:r w:rsidRPr="00597408">
              <w:rPr>
                <w:b/>
                <w:bCs/>
                <w:sz w:val="22"/>
                <w:szCs w:val="22"/>
              </w:rPr>
              <w:t>Professional Staff Provided by CES</w:t>
            </w:r>
          </w:p>
        </w:tc>
      </w:tr>
      <w:tr w:rsidR="00195DF9" w:rsidRPr="00597408" w:rsidTr="00195DF9">
        <w:trPr>
          <w:trHeight w:val="305"/>
        </w:trPr>
        <w:tc>
          <w:tcPr>
            <w:tcW w:w="2460" w:type="pct"/>
          </w:tcPr>
          <w:p w:rsidR="00195DF9" w:rsidRPr="00852977" w:rsidRDefault="00195DF9" w:rsidP="00195DF9">
            <w:pPr>
              <w:rPr>
                <w:b/>
                <w:bCs/>
                <w:sz w:val="22"/>
                <w:szCs w:val="22"/>
              </w:rPr>
            </w:pPr>
            <w:r>
              <w:rPr>
                <w:b/>
                <w:bCs/>
                <w:sz w:val="22"/>
                <w:szCs w:val="22"/>
              </w:rPr>
              <w:t>Sekong, Champassak, Attapeu</w:t>
            </w:r>
          </w:p>
        </w:tc>
        <w:tc>
          <w:tcPr>
            <w:tcW w:w="2540" w:type="pct"/>
          </w:tcPr>
          <w:p w:rsidR="00195DF9" w:rsidRPr="00852977" w:rsidRDefault="00195DF9" w:rsidP="00195DF9">
            <w:pPr>
              <w:rPr>
                <w:b/>
                <w:bCs/>
                <w:sz w:val="22"/>
                <w:szCs w:val="22"/>
              </w:rPr>
            </w:pPr>
          </w:p>
        </w:tc>
      </w:tr>
      <w:tr w:rsidR="00195DF9" w:rsidRPr="00597408" w:rsidTr="00195DF9">
        <w:trPr>
          <w:trHeight w:val="305"/>
        </w:trPr>
        <w:tc>
          <w:tcPr>
            <w:tcW w:w="2460" w:type="pct"/>
          </w:tcPr>
          <w:p w:rsidR="00195DF9" w:rsidRPr="00597408" w:rsidRDefault="00195DF9" w:rsidP="00195DF9">
            <w:pPr>
              <w:rPr>
                <w:b/>
                <w:bCs/>
                <w:sz w:val="22"/>
                <w:szCs w:val="22"/>
              </w:rPr>
            </w:pPr>
          </w:p>
          <w:p w:rsidR="00195DF9" w:rsidRPr="00597408" w:rsidRDefault="00195DF9" w:rsidP="00195DF9">
            <w:pPr>
              <w:rPr>
                <w:b/>
                <w:bCs/>
                <w:sz w:val="22"/>
                <w:szCs w:val="22"/>
              </w:rPr>
            </w:pPr>
            <w:r w:rsidRPr="00597408">
              <w:rPr>
                <w:b/>
                <w:bCs/>
                <w:sz w:val="22"/>
                <w:szCs w:val="22"/>
              </w:rPr>
              <w:t>Name of Client</w:t>
            </w:r>
          </w:p>
        </w:tc>
        <w:tc>
          <w:tcPr>
            <w:tcW w:w="2540" w:type="pct"/>
          </w:tcPr>
          <w:p w:rsidR="00195DF9" w:rsidRPr="00597408" w:rsidRDefault="00195DF9" w:rsidP="00195DF9">
            <w:pPr>
              <w:rPr>
                <w:b/>
                <w:bCs/>
                <w:sz w:val="22"/>
                <w:szCs w:val="22"/>
              </w:rPr>
            </w:pPr>
            <w:r>
              <w:rPr>
                <w:b/>
                <w:bCs/>
                <w:sz w:val="22"/>
                <w:szCs w:val="22"/>
              </w:rPr>
              <w:t>ADB and Min of Natural Resources and environment</w:t>
            </w:r>
          </w:p>
        </w:tc>
      </w:tr>
      <w:tr w:rsidR="00195DF9" w:rsidRPr="00597408" w:rsidTr="00195DF9">
        <w:trPr>
          <w:trHeight w:val="305"/>
        </w:trPr>
        <w:tc>
          <w:tcPr>
            <w:tcW w:w="2460" w:type="pct"/>
          </w:tcPr>
          <w:p w:rsidR="00195DF9" w:rsidRPr="00597408" w:rsidRDefault="00195DF9" w:rsidP="00195DF9">
            <w:pPr>
              <w:rPr>
                <w:b/>
                <w:bCs/>
                <w:sz w:val="22"/>
                <w:szCs w:val="22"/>
              </w:rPr>
            </w:pPr>
          </w:p>
          <w:p w:rsidR="00195DF9" w:rsidRPr="00597408" w:rsidRDefault="00195DF9" w:rsidP="00195DF9">
            <w:pPr>
              <w:rPr>
                <w:b/>
                <w:bCs/>
                <w:sz w:val="22"/>
                <w:szCs w:val="22"/>
              </w:rPr>
            </w:pPr>
            <w:r w:rsidRPr="00597408">
              <w:rPr>
                <w:b/>
                <w:bCs/>
                <w:sz w:val="22"/>
                <w:szCs w:val="22"/>
              </w:rPr>
              <w:t>Start date (Mth/Yr)      Completion date  (Mth/Yr)</w:t>
            </w:r>
          </w:p>
        </w:tc>
        <w:tc>
          <w:tcPr>
            <w:tcW w:w="2540" w:type="pct"/>
          </w:tcPr>
          <w:p w:rsidR="00195DF9" w:rsidRPr="00597408" w:rsidRDefault="00195DF9" w:rsidP="00195DF9">
            <w:pPr>
              <w:rPr>
                <w:b/>
                <w:bCs/>
                <w:sz w:val="22"/>
                <w:szCs w:val="22"/>
              </w:rPr>
            </w:pPr>
          </w:p>
          <w:p w:rsidR="00195DF9" w:rsidRPr="00597408" w:rsidRDefault="00195DF9" w:rsidP="00195DF9">
            <w:pPr>
              <w:rPr>
                <w:b/>
                <w:bCs/>
                <w:sz w:val="22"/>
                <w:szCs w:val="22"/>
              </w:rPr>
            </w:pPr>
            <w:r w:rsidRPr="00597408">
              <w:rPr>
                <w:b/>
                <w:bCs/>
                <w:sz w:val="22"/>
                <w:szCs w:val="22"/>
              </w:rPr>
              <w:t>No.</w:t>
            </w:r>
            <w:r>
              <w:rPr>
                <w:b/>
                <w:bCs/>
                <w:sz w:val="22"/>
                <w:szCs w:val="22"/>
              </w:rPr>
              <w:t xml:space="preserve"> </w:t>
            </w:r>
            <w:r w:rsidRPr="00597408">
              <w:rPr>
                <w:b/>
                <w:bCs/>
                <w:sz w:val="22"/>
                <w:szCs w:val="22"/>
              </w:rPr>
              <w:t>of Staff Months</w:t>
            </w:r>
          </w:p>
        </w:tc>
      </w:tr>
      <w:tr w:rsidR="00195DF9" w:rsidRPr="00597408" w:rsidTr="00195DF9">
        <w:trPr>
          <w:trHeight w:val="305"/>
        </w:trPr>
        <w:tc>
          <w:tcPr>
            <w:tcW w:w="2460" w:type="pct"/>
          </w:tcPr>
          <w:p w:rsidR="00195DF9" w:rsidRPr="00852977" w:rsidRDefault="00195DF9" w:rsidP="00195DF9">
            <w:pPr>
              <w:rPr>
                <w:b/>
                <w:bCs/>
                <w:sz w:val="22"/>
                <w:szCs w:val="22"/>
              </w:rPr>
            </w:pPr>
            <w:r>
              <w:rPr>
                <w:b/>
                <w:bCs/>
                <w:sz w:val="22"/>
                <w:szCs w:val="22"/>
              </w:rPr>
              <w:t>18 October 2015 – June 2017</w:t>
            </w:r>
          </w:p>
        </w:tc>
        <w:tc>
          <w:tcPr>
            <w:tcW w:w="2540" w:type="pct"/>
          </w:tcPr>
          <w:p w:rsidR="00195DF9" w:rsidRPr="00852977" w:rsidRDefault="00195DF9" w:rsidP="00195DF9">
            <w:pPr>
              <w:rPr>
                <w:b/>
                <w:bCs/>
                <w:sz w:val="22"/>
                <w:szCs w:val="22"/>
              </w:rPr>
            </w:pPr>
            <w:r>
              <w:rPr>
                <w:b/>
                <w:bCs/>
                <w:sz w:val="22"/>
                <w:szCs w:val="22"/>
              </w:rPr>
              <w:t>60</w:t>
            </w:r>
          </w:p>
        </w:tc>
      </w:tr>
      <w:tr w:rsidR="00195DF9" w:rsidRPr="00597408" w:rsidTr="00195DF9">
        <w:trPr>
          <w:trHeight w:val="305"/>
        </w:trPr>
        <w:tc>
          <w:tcPr>
            <w:tcW w:w="2460" w:type="pct"/>
          </w:tcPr>
          <w:p w:rsidR="00195DF9" w:rsidRPr="00597408" w:rsidRDefault="00195DF9" w:rsidP="00195DF9">
            <w:pPr>
              <w:rPr>
                <w:b/>
                <w:bCs/>
                <w:sz w:val="22"/>
                <w:szCs w:val="22"/>
              </w:rPr>
            </w:pPr>
          </w:p>
          <w:p w:rsidR="00195DF9" w:rsidRPr="00597408" w:rsidRDefault="00195DF9" w:rsidP="00195DF9">
            <w:pPr>
              <w:rPr>
                <w:b/>
                <w:bCs/>
                <w:sz w:val="22"/>
                <w:szCs w:val="22"/>
              </w:rPr>
            </w:pPr>
            <w:r w:rsidRPr="00597408">
              <w:rPr>
                <w:b/>
                <w:bCs/>
                <w:sz w:val="22"/>
                <w:szCs w:val="22"/>
              </w:rPr>
              <w:t>Name of Senior Staff</w:t>
            </w:r>
          </w:p>
        </w:tc>
        <w:tc>
          <w:tcPr>
            <w:tcW w:w="2540" w:type="pct"/>
          </w:tcPr>
          <w:p w:rsidR="00195DF9" w:rsidRPr="00597408" w:rsidRDefault="00195DF9" w:rsidP="00195DF9">
            <w:pPr>
              <w:rPr>
                <w:b/>
                <w:bCs/>
                <w:sz w:val="22"/>
                <w:szCs w:val="22"/>
              </w:rPr>
            </w:pPr>
          </w:p>
          <w:p w:rsidR="00195DF9" w:rsidRPr="00597408" w:rsidRDefault="00195DF9" w:rsidP="00195DF9">
            <w:pPr>
              <w:rPr>
                <w:b/>
                <w:bCs/>
                <w:sz w:val="22"/>
                <w:szCs w:val="22"/>
              </w:rPr>
            </w:pPr>
            <w:r w:rsidRPr="00597408">
              <w:rPr>
                <w:b/>
                <w:bCs/>
                <w:sz w:val="22"/>
                <w:szCs w:val="22"/>
              </w:rPr>
              <w:t>Approx. Value of Services</w:t>
            </w:r>
          </w:p>
        </w:tc>
      </w:tr>
      <w:tr w:rsidR="00195DF9" w:rsidRPr="00597408" w:rsidTr="00195DF9">
        <w:trPr>
          <w:trHeight w:val="305"/>
        </w:trPr>
        <w:tc>
          <w:tcPr>
            <w:tcW w:w="2460" w:type="pct"/>
          </w:tcPr>
          <w:p w:rsidR="00195DF9" w:rsidRPr="00852977" w:rsidRDefault="00195DF9" w:rsidP="00195DF9">
            <w:pPr>
              <w:rPr>
                <w:b/>
                <w:bCs/>
                <w:sz w:val="22"/>
                <w:szCs w:val="22"/>
              </w:rPr>
            </w:pPr>
            <w:r>
              <w:rPr>
                <w:b/>
                <w:bCs/>
                <w:sz w:val="22"/>
                <w:szCs w:val="22"/>
              </w:rPr>
              <w:t>Mr. John Howse (Fraser Thomas TL)</w:t>
            </w:r>
          </w:p>
        </w:tc>
        <w:tc>
          <w:tcPr>
            <w:tcW w:w="2540" w:type="pct"/>
          </w:tcPr>
          <w:p w:rsidR="00195DF9" w:rsidRPr="00852977" w:rsidRDefault="00195DF9" w:rsidP="00195DF9">
            <w:pPr>
              <w:rPr>
                <w:b/>
                <w:bCs/>
                <w:sz w:val="22"/>
                <w:szCs w:val="22"/>
              </w:rPr>
            </w:pPr>
            <w:r>
              <w:rPr>
                <w:b/>
                <w:bCs/>
                <w:sz w:val="22"/>
                <w:szCs w:val="22"/>
              </w:rPr>
              <w:t>USD$200,000</w:t>
            </w:r>
          </w:p>
        </w:tc>
      </w:tr>
      <w:tr w:rsidR="00195DF9" w:rsidRPr="00597408" w:rsidTr="0017523E">
        <w:trPr>
          <w:trHeight w:val="340"/>
        </w:trPr>
        <w:tc>
          <w:tcPr>
            <w:tcW w:w="5000" w:type="pct"/>
            <w:gridSpan w:val="2"/>
          </w:tcPr>
          <w:p w:rsidR="00FC4019" w:rsidRDefault="00FC4019" w:rsidP="00FC4019">
            <w:pPr>
              <w:widowControl w:val="0"/>
              <w:autoSpaceDE w:val="0"/>
              <w:autoSpaceDN w:val="0"/>
              <w:adjustRightInd w:val="0"/>
              <w:spacing w:line="181" w:lineRule="exact"/>
              <w:ind w:left="140" w:right="98"/>
              <w:jc w:val="both"/>
              <w:rPr>
                <w:b/>
                <w:bCs/>
                <w:sz w:val="22"/>
                <w:szCs w:val="22"/>
              </w:rPr>
            </w:pPr>
          </w:p>
          <w:p w:rsidR="00195DF9" w:rsidRPr="00F24099" w:rsidRDefault="00195DF9" w:rsidP="0017523E">
            <w:pPr>
              <w:widowControl w:val="0"/>
              <w:autoSpaceDE w:val="0"/>
              <w:autoSpaceDN w:val="0"/>
              <w:adjustRightInd w:val="0"/>
              <w:ind w:left="140" w:right="98"/>
              <w:jc w:val="both"/>
              <w:rPr>
                <w:b/>
                <w:bCs/>
                <w:sz w:val="22"/>
                <w:szCs w:val="22"/>
              </w:rPr>
            </w:pPr>
            <w:r w:rsidRPr="00F24099">
              <w:rPr>
                <w:b/>
                <w:bCs/>
                <w:sz w:val="22"/>
                <w:szCs w:val="22"/>
              </w:rPr>
              <w:t>Brief Description of project:</w:t>
            </w:r>
            <w:r w:rsidR="00FC4019">
              <w:rPr>
                <w:b/>
                <w:bCs/>
                <w:sz w:val="22"/>
                <w:szCs w:val="22"/>
              </w:rPr>
              <w:t xml:space="preserve"> </w:t>
            </w:r>
            <w:r w:rsidR="00FC4019" w:rsidRPr="00FC4019">
              <w:rPr>
                <w:sz w:val="22"/>
                <w:szCs w:val="22"/>
                <w:lang w:val="en-US"/>
              </w:rPr>
              <w:t>ADB approved $20 million Grant financed from its Asian Development Fund (ADF) Special Funds Resources for</w:t>
            </w:r>
            <w:r w:rsidR="00FC4019">
              <w:rPr>
                <w:sz w:val="22"/>
                <w:szCs w:val="22"/>
                <w:lang w:val="en-US"/>
              </w:rPr>
              <w:t xml:space="preserve"> </w:t>
            </w:r>
            <w:r w:rsidR="00FC4019" w:rsidRPr="00FC4019">
              <w:rPr>
                <w:sz w:val="22"/>
                <w:szCs w:val="22"/>
                <w:lang w:val="en-US"/>
              </w:rPr>
              <w:t>the Greater Mekong Subregion Biodiversity Conservation Corridors Project (the Project) on 10 December 2010 to the Government of Lao PDR (government). The Project became effective on 11 April 2011. The closing date of the Project is 30 September 2019. The long-term impact of the Project is climate resilient sustainable forest</w:t>
            </w:r>
            <w:r w:rsidR="00FC4019">
              <w:rPr>
                <w:sz w:val="22"/>
                <w:szCs w:val="22"/>
                <w:lang w:val="en-US"/>
              </w:rPr>
              <w:t xml:space="preserve"> </w:t>
            </w:r>
            <w:r w:rsidR="00FC4019" w:rsidRPr="00FC4019">
              <w:rPr>
                <w:sz w:val="22"/>
                <w:szCs w:val="22"/>
                <w:lang w:val="en-US"/>
              </w:rPr>
              <w:t>ecosystems benefiting local livelihoods. The Project outcome is sustainably managed biodiversity corridors in Lao PDR. The Project has four outputs: (i) institutions and communities strengthened for biodiversity corridor management; (ii) biodiversity corridors restored, protected and maintained; (iii) livelihood improvement and small- scale infrastructure support in villages; and (iv) project management and support services provided. The Project covers 67 villages in 5 districts across Attapeu, Champasak and Xekong provinces in Southern Lao PDR. Under output 3 of the Project, small-scale infrastructure subprojects of will be implemented.</w:t>
            </w:r>
          </w:p>
        </w:tc>
      </w:tr>
      <w:tr w:rsidR="00195DF9" w:rsidRPr="00597408" w:rsidTr="00195DF9">
        <w:trPr>
          <w:trHeight w:val="305"/>
        </w:trPr>
        <w:tc>
          <w:tcPr>
            <w:tcW w:w="5000" w:type="pct"/>
            <w:gridSpan w:val="2"/>
          </w:tcPr>
          <w:p w:rsidR="00FC4019" w:rsidRPr="00FC4019" w:rsidRDefault="00195DF9" w:rsidP="00FC4019">
            <w:pPr>
              <w:widowControl w:val="0"/>
              <w:autoSpaceDE w:val="0"/>
              <w:autoSpaceDN w:val="0"/>
              <w:adjustRightInd w:val="0"/>
              <w:spacing w:line="252" w:lineRule="exact"/>
              <w:ind w:left="140" w:right="93"/>
              <w:jc w:val="both"/>
              <w:rPr>
                <w:sz w:val="22"/>
                <w:szCs w:val="22"/>
                <w:lang w:val="en-US"/>
              </w:rPr>
            </w:pPr>
            <w:r w:rsidRPr="00F24099">
              <w:rPr>
                <w:b/>
                <w:bCs/>
                <w:sz w:val="22"/>
                <w:szCs w:val="22"/>
              </w:rPr>
              <w:t>Detailed description of Actual Services Provided by Company Personnel</w:t>
            </w:r>
            <w:r w:rsidR="00FC4019">
              <w:rPr>
                <w:b/>
                <w:bCs/>
                <w:sz w:val="22"/>
                <w:szCs w:val="22"/>
              </w:rPr>
              <w:t xml:space="preserve">: </w:t>
            </w:r>
            <w:r w:rsidR="00FC4019" w:rsidRPr="00FC4019">
              <w:rPr>
                <w:sz w:val="22"/>
                <w:szCs w:val="22"/>
                <w:lang w:val="en-US"/>
              </w:rPr>
              <w:t>The purpose of the consulting services is to develop an implementable plan for the small scale infrastructure of the Project with clear timeline and cost estimate, based on the review of the consultations process and design work already conducted. Based on this plan, the preparation of:</w:t>
            </w:r>
          </w:p>
          <w:p w:rsidR="00FC4019" w:rsidRPr="00FC4019" w:rsidRDefault="00FC4019" w:rsidP="00FC4019">
            <w:pPr>
              <w:widowControl w:val="0"/>
              <w:autoSpaceDE w:val="0"/>
              <w:autoSpaceDN w:val="0"/>
              <w:adjustRightInd w:val="0"/>
              <w:spacing w:line="248" w:lineRule="exact"/>
              <w:ind w:left="860" w:right="-20"/>
              <w:rPr>
                <w:sz w:val="22"/>
                <w:szCs w:val="22"/>
                <w:lang w:val="en-US"/>
              </w:rPr>
            </w:pPr>
            <w:r w:rsidRPr="00FC4019">
              <w:rPr>
                <w:sz w:val="22"/>
                <w:szCs w:val="22"/>
                <w:lang w:val="en-US"/>
              </w:rPr>
              <w:t>a) feasibility studies;</w:t>
            </w:r>
          </w:p>
          <w:p w:rsidR="00FC4019" w:rsidRPr="00FC4019" w:rsidRDefault="00FC4019" w:rsidP="00FC4019">
            <w:pPr>
              <w:widowControl w:val="0"/>
              <w:autoSpaceDE w:val="0"/>
              <w:autoSpaceDN w:val="0"/>
              <w:adjustRightInd w:val="0"/>
              <w:spacing w:before="2"/>
              <w:ind w:left="860" w:right="-20"/>
              <w:rPr>
                <w:sz w:val="22"/>
                <w:szCs w:val="22"/>
                <w:lang w:val="en-US"/>
              </w:rPr>
            </w:pPr>
            <w:r w:rsidRPr="00FC4019">
              <w:rPr>
                <w:sz w:val="22"/>
                <w:szCs w:val="22"/>
                <w:lang w:val="en-US"/>
              </w:rPr>
              <w:t>b) detailed design;</w:t>
            </w:r>
          </w:p>
          <w:p w:rsidR="00FC4019" w:rsidRPr="00FC4019" w:rsidRDefault="00FC4019" w:rsidP="00FC4019">
            <w:pPr>
              <w:widowControl w:val="0"/>
              <w:autoSpaceDE w:val="0"/>
              <w:autoSpaceDN w:val="0"/>
              <w:adjustRightInd w:val="0"/>
              <w:spacing w:line="252" w:lineRule="exact"/>
              <w:ind w:left="860" w:right="-20"/>
              <w:rPr>
                <w:sz w:val="22"/>
                <w:szCs w:val="22"/>
                <w:lang w:val="en-US"/>
              </w:rPr>
            </w:pPr>
            <w:r w:rsidRPr="00FC4019">
              <w:rPr>
                <w:sz w:val="22"/>
                <w:szCs w:val="22"/>
                <w:lang w:val="en-US"/>
              </w:rPr>
              <w:t>c) bidding documents; and</w:t>
            </w:r>
          </w:p>
          <w:p w:rsidR="00FC4019" w:rsidRPr="00FC4019" w:rsidRDefault="00FC4019" w:rsidP="00FC4019">
            <w:pPr>
              <w:widowControl w:val="0"/>
              <w:autoSpaceDE w:val="0"/>
              <w:autoSpaceDN w:val="0"/>
              <w:adjustRightInd w:val="0"/>
              <w:spacing w:line="246" w:lineRule="exact"/>
              <w:ind w:left="860" w:right="-20"/>
              <w:rPr>
                <w:sz w:val="22"/>
                <w:szCs w:val="22"/>
                <w:lang w:val="en-US"/>
              </w:rPr>
            </w:pPr>
            <w:r w:rsidRPr="00FC4019">
              <w:rPr>
                <w:sz w:val="22"/>
                <w:szCs w:val="22"/>
                <w:lang w:val="en-US"/>
              </w:rPr>
              <w:t>d) construction supervision will be carried out by the consultants.</w:t>
            </w:r>
          </w:p>
          <w:p w:rsidR="00195DF9" w:rsidRPr="00F24099" w:rsidRDefault="00FC4019" w:rsidP="00FC4019">
            <w:pPr>
              <w:widowControl w:val="0"/>
              <w:autoSpaceDE w:val="0"/>
              <w:autoSpaceDN w:val="0"/>
              <w:adjustRightInd w:val="0"/>
              <w:spacing w:line="246" w:lineRule="exact"/>
              <w:ind w:right="-20"/>
              <w:rPr>
                <w:sz w:val="22"/>
                <w:szCs w:val="22"/>
              </w:rPr>
            </w:pPr>
            <w:r w:rsidRPr="00FC4019">
              <w:rPr>
                <w:sz w:val="22"/>
                <w:szCs w:val="22"/>
                <w:lang w:val="en-US"/>
              </w:rPr>
              <w:t>CES consultants include environmental assessment, engineering,  survey and design specialists and construction supervisors to support the identification, feasibility and implementation of the 67 subprojects.</w:t>
            </w:r>
          </w:p>
        </w:tc>
      </w:tr>
    </w:tbl>
    <w:p w:rsidR="00B00428" w:rsidRDefault="00B00428" w:rsidP="007D6259">
      <w:pPr>
        <w:rPr>
          <w:b/>
          <w:bCs/>
          <w:sz w:val="22"/>
          <w:szCs w:val="22"/>
        </w:rPr>
      </w:pPr>
      <w:bookmarkStart w:id="0" w:name="_GoBack"/>
      <w:bookmarkEnd w:id="0"/>
    </w:p>
    <w:sectPr w:rsidR="00B00428" w:rsidSect="00DB3D15">
      <w:pgSz w:w="12240" w:h="15840"/>
      <w:pgMar w:top="1440" w:right="1800" w:bottom="1440" w:left="180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9DC" w:rsidRDefault="003269DC">
      <w:r>
        <w:separator/>
      </w:r>
    </w:p>
  </w:endnote>
  <w:endnote w:type="continuationSeparator" w:id="0">
    <w:p w:rsidR="003269DC" w:rsidRDefault="0032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9DC" w:rsidRDefault="003269DC">
      <w:r>
        <w:separator/>
      </w:r>
    </w:p>
  </w:footnote>
  <w:footnote w:type="continuationSeparator" w:id="0">
    <w:p w:rsidR="003269DC" w:rsidRDefault="00326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CD58EC"/>
    <w:multiLevelType w:val="hybridMultilevel"/>
    <w:tmpl w:val="3BEC1EC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0744823"/>
    <w:multiLevelType w:val="hybridMultilevel"/>
    <w:tmpl w:val="4B16E098"/>
    <w:lvl w:ilvl="0" w:tplc="0409000F">
      <w:start w:val="1"/>
      <w:numFmt w:val="bullet"/>
      <w:lvlText w:val=""/>
      <w:lvlJc w:val="left"/>
      <w:pPr>
        <w:ind w:left="680" w:hanging="34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 w15:restartNumberingAfterBreak="0">
    <w:nsid w:val="4E9F6063"/>
    <w:multiLevelType w:val="singleLevel"/>
    <w:tmpl w:val="12384424"/>
    <w:lvl w:ilvl="0">
      <w:start w:val="1"/>
      <w:numFmt w:val="decimal"/>
      <w:lvlText w:val="%1."/>
      <w:legacy w:legacy="1" w:legacySpace="0" w:legacyIndent="283"/>
      <w:lvlJc w:val="left"/>
      <w:pPr>
        <w:ind w:left="283" w:hanging="283"/>
      </w:pPr>
    </w:lvl>
  </w:abstractNum>
  <w:abstractNum w:abstractNumId="4" w15:restartNumberingAfterBreak="0">
    <w:nsid w:val="4F0946B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6BBD0017"/>
    <w:multiLevelType w:val="hybridMultilevel"/>
    <w:tmpl w:val="5F301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541CE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3"/>
  </w:num>
  <w:num w:numId="2">
    <w:abstractNumId w:val="3"/>
    <w:lvlOverride w:ilvl="0">
      <w:lvl w:ilvl="0">
        <w:start w:val="1"/>
        <w:numFmt w:val="decimal"/>
        <w:lvlText w:val="%1."/>
        <w:legacy w:legacy="1" w:legacySpace="0" w:legacyIndent="283"/>
        <w:lvlJc w:val="left"/>
        <w:pPr>
          <w:ind w:left="283" w:hanging="283"/>
        </w:pPr>
      </w:lvl>
    </w:lvlOverride>
  </w:num>
  <w:num w:numId="3">
    <w:abstractNumId w:val="3"/>
    <w:lvlOverride w:ilvl="0">
      <w:lvl w:ilvl="0">
        <w:start w:val="1"/>
        <w:numFmt w:val="decimal"/>
        <w:lvlText w:val="%1."/>
        <w:legacy w:legacy="1" w:legacySpace="0" w:legacyIndent="283"/>
        <w:lvlJc w:val="left"/>
        <w:pPr>
          <w:ind w:left="283" w:hanging="283"/>
        </w:pPr>
      </w:lvl>
    </w:lvlOverride>
  </w:num>
  <w:num w:numId="4">
    <w:abstractNumId w:val="3"/>
    <w:lvlOverride w:ilvl="0">
      <w:lvl w:ilvl="0">
        <w:start w:val="1"/>
        <w:numFmt w:val="decimal"/>
        <w:lvlText w:val="%1."/>
        <w:legacy w:legacy="1" w:legacySpace="0" w:legacyIndent="283"/>
        <w:lvlJc w:val="left"/>
        <w:pPr>
          <w:ind w:left="283" w:hanging="283"/>
        </w:p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4"/>
  </w:num>
  <w:num w:numId="7">
    <w:abstractNumId w:val="6"/>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DA"/>
    <w:rsid w:val="00021278"/>
    <w:rsid w:val="00044032"/>
    <w:rsid w:val="00046C8F"/>
    <w:rsid w:val="00060E52"/>
    <w:rsid w:val="000706CA"/>
    <w:rsid w:val="000741B0"/>
    <w:rsid w:val="00074C41"/>
    <w:rsid w:val="0008562B"/>
    <w:rsid w:val="00086645"/>
    <w:rsid w:val="000A0AA5"/>
    <w:rsid w:val="000C29AA"/>
    <w:rsid w:val="000E524F"/>
    <w:rsid w:val="000F37CF"/>
    <w:rsid w:val="001105A4"/>
    <w:rsid w:val="001136FC"/>
    <w:rsid w:val="00114FC0"/>
    <w:rsid w:val="001325B2"/>
    <w:rsid w:val="00143F94"/>
    <w:rsid w:val="00154DF7"/>
    <w:rsid w:val="0017523E"/>
    <w:rsid w:val="00180AF8"/>
    <w:rsid w:val="001902C9"/>
    <w:rsid w:val="00192158"/>
    <w:rsid w:val="00195DF9"/>
    <w:rsid w:val="001A003C"/>
    <w:rsid w:val="001C73B1"/>
    <w:rsid w:val="001C7429"/>
    <w:rsid w:val="00203008"/>
    <w:rsid w:val="002054CA"/>
    <w:rsid w:val="00220DD4"/>
    <w:rsid w:val="00221A79"/>
    <w:rsid w:val="002313F1"/>
    <w:rsid w:val="00236C7F"/>
    <w:rsid w:val="00237035"/>
    <w:rsid w:val="002401D4"/>
    <w:rsid w:val="00246A46"/>
    <w:rsid w:val="002904CF"/>
    <w:rsid w:val="002C1F69"/>
    <w:rsid w:val="002F1190"/>
    <w:rsid w:val="002F3FB1"/>
    <w:rsid w:val="002F7747"/>
    <w:rsid w:val="003050AA"/>
    <w:rsid w:val="003079B6"/>
    <w:rsid w:val="0031561C"/>
    <w:rsid w:val="0032360E"/>
    <w:rsid w:val="003269DC"/>
    <w:rsid w:val="00327731"/>
    <w:rsid w:val="00342624"/>
    <w:rsid w:val="0034754E"/>
    <w:rsid w:val="00385E52"/>
    <w:rsid w:val="00385F74"/>
    <w:rsid w:val="00395A71"/>
    <w:rsid w:val="003A13E4"/>
    <w:rsid w:val="003E0142"/>
    <w:rsid w:val="003F61F9"/>
    <w:rsid w:val="0040025F"/>
    <w:rsid w:val="00407658"/>
    <w:rsid w:val="00414201"/>
    <w:rsid w:val="00434883"/>
    <w:rsid w:val="004353FB"/>
    <w:rsid w:val="00436A59"/>
    <w:rsid w:val="00445441"/>
    <w:rsid w:val="004623F8"/>
    <w:rsid w:val="0046773A"/>
    <w:rsid w:val="00471EC2"/>
    <w:rsid w:val="00477CBB"/>
    <w:rsid w:val="004C35D1"/>
    <w:rsid w:val="00506EF9"/>
    <w:rsid w:val="0051401B"/>
    <w:rsid w:val="00520838"/>
    <w:rsid w:val="00531FD6"/>
    <w:rsid w:val="0053756C"/>
    <w:rsid w:val="00541A5A"/>
    <w:rsid w:val="00556077"/>
    <w:rsid w:val="0055746B"/>
    <w:rsid w:val="0057626F"/>
    <w:rsid w:val="00584333"/>
    <w:rsid w:val="005C765D"/>
    <w:rsid w:val="005E3DB3"/>
    <w:rsid w:val="005F5DA6"/>
    <w:rsid w:val="00600039"/>
    <w:rsid w:val="006123F8"/>
    <w:rsid w:val="006300D7"/>
    <w:rsid w:val="0063240A"/>
    <w:rsid w:val="0065107B"/>
    <w:rsid w:val="0066065E"/>
    <w:rsid w:val="00664A85"/>
    <w:rsid w:val="00671634"/>
    <w:rsid w:val="006845D5"/>
    <w:rsid w:val="006861A6"/>
    <w:rsid w:val="006932FD"/>
    <w:rsid w:val="006D1D29"/>
    <w:rsid w:val="006E5539"/>
    <w:rsid w:val="00715760"/>
    <w:rsid w:val="00720FDA"/>
    <w:rsid w:val="00732F16"/>
    <w:rsid w:val="0074551C"/>
    <w:rsid w:val="00776589"/>
    <w:rsid w:val="00784079"/>
    <w:rsid w:val="0078472F"/>
    <w:rsid w:val="007B41EF"/>
    <w:rsid w:val="007C773E"/>
    <w:rsid w:val="007D6259"/>
    <w:rsid w:val="007F4F0A"/>
    <w:rsid w:val="00801743"/>
    <w:rsid w:val="00807F68"/>
    <w:rsid w:val="008176DB"/>
    <w:rsid w:val="00831DD7"/>
    <w:rsid w:val="008378DB"/>
    <w:rsid w:val="00852977"/>
    <w:rsid w:val="00854F2F"/>
    <w:rsid w:val="00865D87"/>
    <w:rsid w:val="00885B66"/>
    <w:rsid w:val="008B44F6"/>
    <w:rsid w:val="008C1948"/>
    <w:rsid w:val="008F6C1D"/>
    <w:rsid w:val="009015E0"/>
    <w:rsid w:val="00905795"/>
    <w:rsid w:val="00914F21"/>
    <w:rsid w:val="0092653C"/>
    <w:rsid w:val="00927AE3"/>
    <w:rsid w:val="0093064B"/>
    <w:rsid w:val="00930DD1"/>
    <w:rsid w:val="009321CF"/>
    <w:rsid w:val="009535D0"/>
    <w:rsid w:val="00953AA7"/>
    <w:rsid w:val="00954BA9"/>
    <w:rsid w:val="0095515C"/>
    <w:rsid w:val="00956AA0"/>
    <w:rsid w:val="009763D4"/>
    <w:rsid w:val="00986B11"/>
    <w:rsid w:val="009B04D3"/>
    <w:rsid w:val="009E53EE"/>
    <w:rsid w:val="009F6842"/>
    <w:rsid w:val="009F6CFC"/>
    <w:rsid w:val="00A16DDE"/>
    <w:rsid w:val="00A2780A"/>
    <w:rsid w:val="00A3216E"/>
    <w:rsid w:val="00A42D60"/>
    <w:rsid w:val="00A60BAD"/>
    <w:rsid w:val="00A657A4"/>
    <w:rsid w:val="00A67EFC"/>
    <w:rsid w:val="00A73261"/>
    <w:rsid w:val="00A73457"/>
    <w:rsid w:val="00A739B8"/>
    <w:rsid w:val="00A81E42"/>
    <w:rsid w:val="00A8270B"/>
    <w:rsid w:val="00A95DBE"/>
    <w:rsid w:val="00AD46A1"/>
    <w:rsid w:val="00AD6400"/>
    <w:rsid w:val="00AF69A3"/>
    <w:rsid w:val="00B00428"/>
    <w:rsid w:val="00B0262C"/>
    <w:rsid w:val="00B1532A"/>
    <w:rsid w:val="00B35C86"/>
    <w:rsid w:val="00B5037E"/>
    <w:rsid w:val="00B533E8"/>
    <w:rsid w:val="00B64B52"/>
    <w:rsid w:val="00B8327D"/>
    <w:rsid w:val="00B91300"/>
    <w:rsid w:val="00BA344E"/>
    <w:rsid w:val="00BB3C8A"/>
    <w:rsid w:val="00BB50B5"/>
    <w:rsid w:val="00C00014"/>
    <w:rsid w:val="00C41441"/>
    <w:rsid w:val="00C6246D"/>
    <w:rsid w:val="00C62E05"/>
    <w:rsid w:val="00C65A39"/>
    <w:rsid w:val="00C72F67"/>
    <w:rsid w:val="00C7765B"/>
    <w:rsid w:val="00C77666"/>
    <w:rsid w:val="00C806F6"/>
    <w:rsid w:val="00C810D1"/>
    <w:rsid w:val="00C8442A"/>
    <w:rsid w:val="00CA2311"/>
    <w:rsid w:val="00CC6C77"/>
    <w:rsid w:val="00CC7DBA"/>
    <w:rsid w:val="00CE02C4"/>
    <w:rsid w:val="00CF78B6"/>
    <w:rsid w:val="00D36B21"/>
    <w:rsid w:val="00D406B5"/>
    <w:rsid w:val="00D66F4E"/>
    <w:rsid w:val="00D70EE0"/>
    <w:rsid w:val="00D7725F"/>
    <w:rsid w:val="00D820AC"/>
    <w:rsid w:val="00D9058B"/>
    <w:rsid w:val="00DA6E07"/>
    <w:rsid w:val="00DB3D15"/>
    <w:rsid w:val="00DC1065"/>
    <w:rsid w:val="00DE46CC"/>
    <w:rsid w:val="00E02C55"/>
    <w:rsid w:val="00E032A3"/>
    <w:rsid w:val="00E20C27"/>
    <w:rsid w:val="00E30E6D"/>
    <w:rsid w:val="00E50300"/>
    <w:rsid w:val="00E61932"/>
    <w:rsid w:val="00E85FDA"/>
    <w:rsid w:val="00E90259"/>
    <w:rsid w:val="00EC13A1"/>
    <w:rsid w:val="00EC219C"/>
    <w:rsid w:val="00F03C3D"/>
    <w:rsid w:val="00F14C3B"/>
    <w:rsid w:val="00F24099"/>
    <w:rsid w:val="00F5205C"/>
    <w:rsid w:val="00F87D12"/>
    <w:rsid w:val="00F96CDB"/>
    <w:rsid w:val="00FA5F76"/>
    <w:rsid w:val="00FC4019"/>
    <w:rsid w:val="00FD71C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07828B-628A-47C6-936D-896E7125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D15"/>
    <w:rPr>
      <w:lang w:val="en-GB"/>
    </w:rPr>
  </w:style>
  <w:style w:type="paragraph" w:styleId="Heading1">
    <w:name w:val="heading 1"/>
    <w:basedOn w:val="Normal"/>
    <w:next w:val="Normal"/>
    <w:qFormat/>
    <w:rsid w:val="00DB3D15"/>
    <w:pPr>
      <w:keepNext/>
      <w:outlineLvl w:val="0"/>
    </w:pPr>
    <w:rPr>
      <w:b/>
      <w:sz w:val="24"/>
      <w:u w:val="single"/>
    </w:rPr>
  </w:style>
  <w:style w:type="paragraph" w:styleId="Heading2">
    <w:name w:val="heading 2"/>
    <w:basedOn w:val="Normal"/>
    <w:next w:val="Normal"/>
    <w:qFormat/>
    <w:rsid w:val="00DB3D15"/>
    <w:pPr>
      <w:keepNext/>
      <w:outlineLvl w:val="1"/>
    </w:pPr>
    <w:rPr>
      <w:b/>
      <w:sz w:val="24"/>
    </w:rPr>
  </w:style>
  <w:style w:type="paragraph" w:styleId="Heading3">
    <w:name w:val="heading 3"/>
    <w:basedOn w:val="Normal"/>
    <w:next w:val="Normal"/>
    <w:qFormat/>
    <w:rsid w:val="00DB3D15"/>
    <w:pPr>
      <w:keepNext/>
      <w:outlineLvl w:val="2"/>
    </w:pPr>
    <w:rPr>
      <w:b/>
    </w:rPr>
  </w:style>
  <w:style w:type="paragraph" w:styleId="Heading4">
    <w:name w:val="heading 4"/>
    <w:basedOn w:val="Normal"/>
    <w:next w:val="Normal"/>
    <w:qFormat/>
    <w:rsid w:val="00DB3D15"/>
    <w:pPr>
      <w:keepNext/>
      <w:outlineLvl w:val="3"/>
    </w:pPr>
    <w:rPr>
      <w:sz w:val="24"/>
    </w:rPr>
  </w:style>
  <w:style w:type="paragraph" w:styleId="Heading5">
    <w:name w:val="heading 5"/>
    <w:basedOn w:val="Normal"/>
    <w:next w:val="Normal"/>
    <w:qFormat/>
    <w:rsid w:val="00DB3D15"/>
    <w:pPr>
      <w:keepNext/>
      <w:jc w:val="center"/>
      <w:outlineLvl w:val="4"/>
    </w:pPr>
    <w:rPr>
      <w:rFonts w:ascii="Baskerville Old Face" w:hAnsi="Baskerville Old Face"/>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B3D15"/>
    <w:rPr>
      <w:sz w:val="24"/>
    </w:rPr>
  </w:style>
  <w:style w:type="paragraph" w:styleId="Header">
    <w:name w:val="header"/>
    <w:basedOn w:val="Normal"/>
    <w:link w:val="HeaderChar"/>
    <w:rsid w:val="00DB3D15"/>
    <w:pPr>
      <w:tabs>
        <w:tab w:val="center" w:pos="4320"/>
        <w:tab w:val="right" w:pos="8640"/>
      </w:tabs>
    </w:pPr>
  </w:style>
  <w:style w:type="paragraph" w:styleId="Footer">
    <w:name w:val="footer"/>
    <w:basedOn w:val="Normal"/>
    <w:rsid w:val="00DB3D15"/>
    <w:pPr>
      <w:tabs>
        <w:tab w:val="center" w:pos="4320"/>
        <w:tab w:val="right" w:pos="8640"/>
      </w:tabs>
    </w:pPr>
  </w:style>
  <w:style w:type="character" w:styleId="Hyperlink">
    <w:name w:val="Hyperlink"/>
    <w:basedOn w:val="DefaultParagraphFont"/>
    <w:rsid w:val="00DB3D15"/>
    <w:rPr>
      <w:color w:val="0000FF"/>
      <w:u w:val="single"/>
    </w:rPr>
  </w:style>
  <w:style w:type="paragraph" w:styleId="BodyText2">
    <w:name w:val="Body Text 2"/>
    <w:basedOn w:val="Normal"/>
    <w:rsid w:val="00DB3D15"/>
    <w:pPr>
      <w:jc w:val="both"/>
    </w:pPr>
    <w:rPr>
      <w:sz w:val="23"/>
    </w:rPr>
  </w:style>
  <w:style w:type="paragraph" w:styleId="Title">
    <w:name w:val="Title"/>
    <w:basedOn w:val="Normal"/>
    <w:qFormat/>
    <w:rsid w:val="00DB3D15"/>
    <w:pPr>
      <w:jc w:val="center"/>
    </w:pPr>
    <w:rPr>
      <w:rFonts w:ascii="Arial" w:hAnsi="Arial" w:cs="Arial"/>
      <w:b/>
      <w:bCs/>
      <w:sz w:val="32"/>
    </w:rPr>
  </w:style>
  <w:style w:type="table" w:styleId="TableGrid">
    <w:name w:val="Table Grid"/>
    <w:basedOn w:val="TableNormal"/>
    <w:rsid w:val="00462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143F94"/>
    <w:rPr>
      <w:lang w:val="en-GB" w:bidi="ar-SA"/>
    </w:rPr>
  </w:style>
  <w:style w:type="paragraph" w:styleId="BalloonText">
    <w:name w:val="Balloon Text"/>
    <w:basedOn w:val="Normal"/>
    <w:link w:val="BalloonTextChar"/>
    <w:rsid w:val="00143F94"/>
    <w:rPr>
      <w:rFonts w:ascii="Tahoma" w:hAnsi="Tahoma" w:cs="Tahoma"/>
      <w:sz w:val="16"/>
      <w:szCs w:val="16"/>
    </w:rPr>
  </w:style>
  <w:style w:type="character" w:customStyle="1" w:styleId="BalloonTextChar">
    <w:name w:val="Balloon Text Char"/>
    <w:basedOn w:val="DefaultParagraphFont"/>
    <w:link w:val="BalloonText"/>
    <w:rsid w:val="00143F94"/>
    <w:rPr>
      <w:rFonts w:ascii="Tahoma" w:hAnsi="Tahoma" w:cs="Tahoma"/>
      <w:sz w:val="16"/>
      <w:szCs w:val="16"/>
      <w:lang w:val="en-GB" w:bidi="ar-SA"/>
    </w:rPr>
  </w:style>
  <w:style w:type="character" w:customStyle="1" w:styleId="apple-style-span">
    <w:name w:val="apple-style-span"/>
    <w:basedOn w:val="DefaultParagraphFont"/>
    <w:rsid w:val="002313F1"/>
  </w:style>
  <w:style w:type="character" w:customStyle="1" w:styleId="apple-converted-space">
    <w:name w:val="apple-converted-space"/>
    <w:basedOn w:val="DefaultParagraphFont"/>
    <w:rsid w:val="002313F1"/>
  </w:style>
  <w:style w:type="paragraph" w:styleId="ListParagraph">
    <w:name w:val="List Paragraph"/>
    <w:basedOn w:val="Normal"/>
    <w:uiPriority w:val="34"/>
    <w:qFormat/>
    <w:rsid w:val="000E524F"/>
    <w:pPr>
      <w:ind w:left="720"/>
    </w:pPr>
    <w:rPr>
      <w:sz w:val="24"/>
      <w:szCs w:val="24"/>
      <w:lang w:val="en-US"/>
    </w:rPr>
  </w:style>
  <w:style w:type="paragraph" w:customStyle="1" w:styleId="Default">
    <w:name w:val="Default"/>
    <w:rsid w:val="0058433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9760">
      <w:bodyDiv w:val="1"/>
      <w:marLeft w:val="0"/>
      <w:marRight w:val="0"/>
      <w:marTop w:val="0"/>
      <w:marBottom w:val="0"/>
      <w:divBdr>
        <w:top w:val="none" w:sz="0" w:space="0" w:color="auto"/>
        <w:left w:val="none" w:sz="0" w:space="0" w:color="auto"/>
        <w:bottom w:val="none" w:sz="0" w:space="0" w:color="auto"/>
        <w:right w:val="none" w:sz="0" w:space="0" w:color="auto"/>
      </w:divBdr>
    </w:div>
    <w:div w:id="709653124">
      <w:bodyDiv w:val="1"/>
      <w:marLeft w:val="0"/>
      <w:marRight w:val="0"/>
      <w:marTop w:val="0"/>
      <w:marBottom w:val="0"/>
      <w:divBdr>
        <w:top w:val="none" w:sz="0" w:space="0" w:color="auto"/>
        <w:left w:val="none" w:sz="0" w:space="0" w:color="auto"/>
        <w:bottom w:val="none" w:sz="0" w:space="0" w:color="auto"/>
        <w:right w:val="none" w:sz="0" w:space="0" w:color="auto"/>
      </w:divBdr>
    </w:div>
    <w:div w:id="782261207">
      <w:bodyDiv w:val="1"/>
      <w:marLeft w:val="0"/>
      <w:marRight w:val="0"/>
      <w:marTop w:val="0"/>
      <w:marBottom w:val="0"/>
      <w:divBdr>
        <w:top w:val="none" w:sz="0" w:space="0" w:color="auto"/>
        <w:left w:val="none" w:sz="0" w:space="0" w:color="auto"/>
        <w:bottom w:val="none" w:sz="0" w:space="0" w:color="auto"/>
        <w:right w:val="none" w:sz="0" w:space="0" w:color="auto"/>
      </w:divBdr>
    </w:div>
    <w:div w:id="1174299357">
      <w:bodyDiv w:val="1"/>
      <w:marLeft w:val="0"/>
      <w:marRight w:val="0"/>
      <w:marTop w:val="0"/>
      <w:marBottom w:val="0"/>
      <w:divBdr>
        <w:top w:val="none" w:sz="0" w:space="0" w:color="auto"/>
        <w:left w:val="none" w:sz="0" w:space="0" w:color="auto"/>
        <w:bottom w:val="none" w:sz="0" w:space="0" w:color="auto"/>
        <w:right w:val="none" w:sz="0" w:space="0" w:color="auto"/>
      </w:divBdr>
    </w:div>
    <w:div w:id="1207447336">
      <w:bodyDiv w:val="1"/>
      <w:marLeft w:val="0"/>
      <w:marRight w:val="0"/>
      <w:marTop w:val="0"/>
      <w:marBottom w:val="0"/>
      <w:divBdr>
        <w:top w:val="none" w:sz="0" w:space="0" w:color="auto"/>
        <w:left w:val="none" w:sz="0" w:space="0" w:color="auto"/>
        <w:bottom w:val="none" w:sz="0" w:space="0" w:color="auto"/>
        <w:right w:val="none" w:sz="0" w:space="0" w:color="auto"/>
      </w:divBdr>
    </w:div>
    <w:div w:id="1221940018">
      <w:bodyDiv w:val="1"/>
      <w:marLeft w:val="0"/>
      <w:marRight w:val="0"/>
      <w:marTop w:val="0"/>
      <w:marBottom w:val="0"/>
      <w:divBdr>
        <w:top w:val="none" w:sz="0" w:space="0" w:color="auto"/>
        <w:left w:val="none" w:sz="0" w:space="0" w:color="auto"/>
        <w:bottom w:val="none" w:sz="0" w:space="0" w:color="auto"/>
        <w:right w:val="none" w:sz="0" w:space="0" w:color="auto"/>
      </w:divBdr>
    </w:div>
    <w:div w:id="1650674728">
      <w:bodyDiv w:val="1"/>
      <w:marLeft w:val="0"/>
      <w:marRight w:val="0"/>
      <w:marTop w:val="0"/>
      <w:marBottom w:val="0"/>
      <w:divBdr>
        <w:top w:val="none" w:sz="0" w:space="0" w:color="auto"/>
        <w:left w:val="none" w:sz="0" w:space="0" w:color="auto"/>
        <w:bottom w:val="none" w:sz="0" w:space="0" w:color="auto"/>
        <w:right w:val="none" w:sz="0" w:space="0" w:color="auto"/>
      </w:divBdr>
    </w:div>
    <w:div w:id="1865825994">
      <w:bodyDiv w:val="1"/>
      <w:marLeft w:val="0"/>
      <w:marRight w:val="0"/>
      <w:marTop w:val="0"/>
      <w:marBottom w:val="0"/>
      <w:divBdr>
        <w:top w:val="none" w:sz="0" w:space="0" w:color="auto"/>
        <w:left w:val="none" w:sz="0" w:space="0" w:color="auto"/>
        <w:bottom w:val="none" w:sz="0" w:space="0" w:color="auto"/>
        <w:right w:val="none" w:sz="0" w:space="0" w:color="auto"/>
      </w:divBdr>
    </w:div>
    <w:div w:id="1888755550">
      <w:bodyDiv w:val="1"/>
      <w:marLeft w:val="0"/>
      <w:marRight w:val="0"/>
      <w:marTop w:val="0"/>
      <w:marBottom w:val="0"/>
      <w:divBdr>
        <w:top w:val="none" w:sz="0" w:space="0" w:color="auto"/>
        <w:left w:val="none" w:sz="0" w:space="0" w:color="auto"/>
        <w:bottom w:val="none" w:sz="0" w:space="0" w:color="auto"/>
        <w:right w:val="none" w:sz="0" w:space="0" w:color="auto"/>
      </w:divBdr>
    </w:div>
    <w:div w:id="1924877899">
      <w:bodyDiv w:val="1"/>
      <w:marLeft w:val="0"/>
      <w:marRight w:val="0"/>
      <w:marTop w:val="0"/>
      <w:marBottom w:val="0"/>
      <w:divBdr>
        <w:top w:val="none" w:sz="0" w:space="0" w:color="auto"/>
        <w:left w:val="none" w:sz="0" w:space="0" w:color="auto"/>
        <w:bottom w:val="none" w:sz="0" w:space="0" w:color="auto"/>
        <w:right w:val="none" w:sz="0" w:space="0" w:color="auto"/>
      </w:divBdr>
    </w:div>
    <w:div w:id="1980645583">
      <w:bodyDiv w:val="1"/>
      <w:marLeft w:val="0"/>
      <w:marRight w:val="0"/>
      <w:marTop w:val="0"/>
      <w:marBottom w:val="0"/>
      <w:divBdr>
        <w:top w:val="none" w:sz="0" w:space="0" w:color="auto"/>
        <w:left w:val="none" w:sz="0" w:space="0" w:color="auto"/>
        <w:bottom w:val="none" w:sz="0" w:space="0" w:color="auto"/>
        <w:right w:val="none" w:sz="0" w:space="0" w:color="auto"/>
      </w:divBdr>
    </w:div>
    <w:div w:id="207724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0141B-AAB2-4185-A20D-D32526C8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Rural Development Specialists (Lao) Pty, Ltd</vt:lpstr>
    </vt:vector>
  </TitlesOfParts>
  <Company/>
  <LinksUpToDate>false</LinksUpToDate>
  <CharactersWithSpaces>2421</CharactersWithSpaces>
  <SharedDoc>false</SharedDoc>
  <HLinks>
    <vt:vector size="12" baseType="variant">
      <vt:variant>
        <vt:i4>1703992</vt:i4>
      </vt:variant>
      <vt:variant>
        <vt:i4>3</vt:i4>
      </vt:variant>
      <vt:variant>
        <vt:i4>0</vt:i4>
      </vt:variant>
      <vt:variant>
        <vt:i4>5</vt:i4>
      </vt:variant>
      <vt:variant>
        <vt:lpwstr>mailto:atbott@yahoo.com</vt:lpwstr>
      </vt:variant>
      <vt:variant>
        <vt:lpwstr/>
      </vt:variant>
      <vt:variant>
        <vt:i4>2359307</vt:i4>
      </vt:variant>
      <vt:variant>
        <vt:i4>0</vt:i4>
      </vt:variant>
      <vt:variant>
        <vt:i4>0</vt:i4>
      </vt:variant>
      <vt:variant>
        <vt:i4>5</vt:i4>
      </vt:variant>
      <vt:variant>
        <vt:lpwstr>mailto:ceslao@laotel.com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Development Specialists (Lao) Pty, Ltd</dc:title>
  <dc:creator>Tony BOTT</dc:creator>
  <cp:lastModifiedBy>DELL</cp:lastModifiedBy>
  <cp:revision>3</cp:revision>
  <dcterms:created xsi:type="dcterms:W3CDTF">2017-06-03T07:38:00Z</dcterms:created>
  <dcterms:modified xsi:type="dcterms:W3CDTF">2017-06-03T07:58:00Z</dcterms:modified>
</cp:coreProperties>
</file>